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56DC" w14:textId="77777777" w:rsidR="00852390" w:rsidRDefault="00852390" w:rsidP="00852390">
      <w:pPr>
        <w:rPr>
          <w:b/>
          <w:sz w:val="32"/>
          <w:szCs w:val="32"/>
        </w:rPr>
      </w:pPr>
    </w:p>
    <w:p w14:paraId="719C0F29" w14:textId="77777777" w:rsidR="00CA4BED" w:rsidRPr="002267D5" w:rsidRDefault="006C3DD7" w:rsidP="002267D5">
      <w:pPr>
        <w:rPr>
          <w:b/>
        </w:rPr>
      </w:pPr>
      <w:bookmarkStart w:id="0" w:name="_Hlk140221361"/>
      <w:r>
        <w:rPr>
          <w:b/>
          <w:sz w:val="28"/>
          <w:szCs w:val="28"/>
        </w:rPr>
        <w:t>Business Case</w:t>
      </w:r>
      <w:r w:rsidR="00ED2446">
        <w:rPr>
          <w:b/>
          <w:sz w:val="28"/>
          <w:szCs w:val="28"/>
        </w:rPr>
        <w:t xml:space="preserve"> Proposal</w:t>
      </w:r>
      <w:r w:rsidR="006438A3">
        <w:rPr>
          <w:b/>
          <w:sz w:val="28"/>
          <w:szCs w:val="28"/>
        </w:rPr>
        <w:t xml:space="preserve"> for</w:t>
      </w:r>
      <w:r w:rsidR="00912A8C">
        <w:rPr>
          <w:b/>
          <w:sz w:val="28"/>
          <w:szCs w:val="28"/>
        </w:rPr>
        <w:t xml:space="preserve"> </w:t>
      </w:r>
      <w:r w:rsidR="006438A3" w:rsidRPr="006438A3">
        <w:rPr>
          <w:b/>
          <w:sz w:val="28"/>
          <w:szCs w:val="28"/>
        </w:rPr>
        <w:t>‘</w:t>
      </w:r>
      <w:r w:rsidR="006438A3">
        <w:rPr>
          <w:b/>
          <w:sz w:val="28"/>
          <w:szCs w:val="28"/>
        </w:rPr>
        <w:t>P</w:t>
      </w:r>
      <w:r w:rsidR="006438A3" w:rsidRPr="006438A3">
        <w:rPr>
          <w:b/>
          <w:sz w:val="28"/>
          <w:szCs w:val="28"/>
        </w:rPr>
        <w:t>lace based’ liver servic</w:t>
      </w:r>
      <w:r w:rsidR="006438A3">
        <w:rPr>
          <w:b/>
          <w:sz w:val="28"/>
          <w:szCs w:val="28"/>
        </w:rPr>
        <w:t>e</w:t>
      </w:r>
      <w:r w:rsidR="002267D5">
        <w:rPr>
          <w:b/>
          <w:sz w:val="28"/>
          <w:szCs w:val="28"/>
        </w:rPr>
        <w:t>:</w:t>
      </w:r>
      <w:r w:rsidR="002267D5" w:rsidRPr="002267D5">
        <w:rPr>
          <w:b/>
          <w:sz w:val="28"/>
          <w:szCs w:val="28"/>
        </w:rPr>
        <w:t xml:space="preserve"> one stop liver clinic with </w:t>
      </w:r>
      <w:proofErr w:type="spellStart"/>
      <w:r w:rsidR="002267D5" w:rsidRPr="002267D5">
        <w:rPr>
          <w:b/>
          <w:sz w:val="28"/>
          <w:szCs w:val="28"/>
        </w:rPr>
        <w:t>fibroscan</w:t>
      </w:r>
      <w:proofErr w:type="spellEnd"/>
      <w:r w:rsidR="002267D5" w:rsidRPr="002267D5">
        <w:rPr>
          <w:b/>
          <w:sz w:val="28"/>
          <w:szCs w:val="28"/>
        </w:rPr>
        <w:t xml:space="preserve"> and new </w:t>
      </w:r>
      <w:r w:rsidR="006438A3">
        <w:rPr>
          <w:b/>
          <w:sz w:val="28"/>
          <w:szCs w:val="28"/>
        </w:rPr>
        <w:t>MASLD</w:t>
      </w:r>
      <w:r w:rsidR="006438A3">
        <w:rPr>
          <w:rStyle w:val="FootnoteReference"/>
          <w:b/>
          <w:sz w:val="28"/>
          <w:szCs w:val="28"/>
        </w:rPr>
        <w:footnoteReference w:id="1"/>
      </w:r>
      <w:r w:rsidR="006438A3">
        <w:rPr>
          <w:b/>
          <w:sz w:val="28"/>
          <w:szCs w:val="28"/>
        </w:rPr>
        <w:t xml:space="preserve"> </w:t>
      </w:r>
      <w:r w:rsidR="002267D5" w:rsidRPr="002267D5">
        <w:rPr>
          <w:b/>
          <w:sz w:val="28"/>
          <w:szCs w:val="28"/>
        </w:rPr>
        <w:t xml:space="preserve">primary care liver </w:t>
      </w:r>
      <w:proofErr w:type="gramStart"/>
      <w:r w:rsidR="002267D5" w:rsidRPr="002267D5">
        <w:rPr>
          <w:b/>
          <w:sz w:val="28"/>
          <w:szCs w:val="28"/>
        </w:rPr>
        <w:t>pathway</w:t>
      </w:r>
      <w:proofErr w:type="gramEnd"/>
    </w:p>
    <w:bookmarkEnd w:id="0"/>
    <w:p w14:paraId="0AFE7E8D" w14:textId="77777777" w:rsidR="00814574" w:rsidRDefault="00814574" w:rsidP="002267D5">
      <w:pPr>
        <w:rPr>
          <w:b/>
        </w:rPr>
      </w:pPr>
    </w:p>
    <w:p w14:paraId="60499501" w14:textId="77777777" w:rsidR="00F7177F" w:rsidRDefault="00F7177F" w:rsidP="003049BE">
      <w:pPr>
        <w:ind w:left="-720"/>
        <w:rPr>
          <w:rFonts w:cs="Arial"/>
          <w:b/>
          <w:sz w:val="24"/>
          <w:szCs w:val="24"/>
        </w:rPr>
      </w:pPr>
    </w:p>
    <w:p w14:paraId="01E62088" w14:textId="77777777" w:rsidR="003049BE" w:rsidRPr="00A94F84" w:rsidRDefault="00DB571D" w:rsidP="003049BE">
      <w:pPr>
        <w:ind w:left="-720"/>
        <w:rPr>
          <w:rFonts w:cs="Arial"/>
          <w:b/>
          <w:sz w:val="24"/>
          <w:szCs w:val="24"/>
        </w:rPr>
      </w:pPr>
      <w:r>
        <w:rPr>
          <w:rFonts w:cs="Arial"/>
          <w:b/>
          <w:sz w:val="24"/>
          <w:szCs w:val="24"/>
        </w:rPr>
        <w:t xml:space="preserve">1. </w:t>
      </w:r>
      <w:r w:rsidR="000B1F1D">
        <w:rPr>
          <w:rFonts w:cs="Arial"/>
          <w:b/>
          <w:sz w:val="24"/>
          <w:szCs w:val="24"/>
        </w:rPr>
        <w:t>Outline</w:t>
      </w:r>
      <w:r>
        <w:rPr>
          <w:rFonts w:cs="Arial"/>
          <w:b/>
          <w:sz w:val="24"/>
          <w:szCs w:val="24"/>
        </w:rPr>
        <w:t xml:space="preserve"> </w:t>
      </w:r>
    </w:p>
    <w:tbl>
      <w:tblPr>
        <w:tblW w:w="11057" w:type="dxa"/>
        <w:tblInd w:w="-459"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1057"/>
      </w:tblGrid>
      <w:tr w:rsidR="003049BE" w:rsidRPr="00A94F84" w14:paraId="235A49B1" w14:textId="77777777" w:rsidTr="00313E4E">
        <w:trPr>
          <w:trHeight w:val="397"/>
        </w:trPr>
        <w:tc>
          <w:tcPr>
            <w:tcW w:w="11057" w:type="dxa"/>
            <w:shd w:val="clear" w:color="auto" w:fill="CCC0D9"/>
            <w:vAlign w:val="center"/>
          </w:tcPr>
          <w:p w14:paraId="747ABAB9" w14:textId="77777777" w:rsidR="003049BE" w:rsidRPr="0039076F" w:rsidRDefault="00420D56" w:rsidP="00367A1D">
            <w:pPr>
              <w:rPr>
                <w:rFonts w:cs="Arial"/>
                <w:b/>
                <w:bCs/>
              </w:rPr>
            </w:pPr>
            <w:r>
              <w:rPr>
                <w:rFonts w:cs="Arial"/>
                <w:b/>
                <w:bCs/>
              </w:rPr>
              <w:t xml:space="preserve">Overview </w:t>
            </w:r>
            <w:r w:rsidR="00367A1D">
              <w:rPr>
                <w:rFonts w:cs="Arial"/>
                <w:b/>
                <w:bCs/>
              </w:rPr>
              <w:t xml:space="preserve">/ Context </w:t>
            </w:r>
            <w:r w:rsidR="0061768D">
              <w:rPr>
                <w:rFonts w:cs="Arial"/>
                <w:b/>
                <w:bCs/>
              </w:rPr>
              <w:t>/ What and why</w:t>
            </w:r>
          </w:p>
        </w:tc>
      </w:tr>
      <w:tr w:rsidR="003049BE" w:rsidRPr="000B1F1D" w14:paraId="20915931" w14:textId="77777777" w:rsidTr="00313E4E">
        <w:tc>
          <w:tcPr>
            <w:tcW w:w="11057" w:type="dxa"/>
          </w:tcPr>
          <w:p w14:paraId="59C9C6DE" w14:textId="77777777" w:rsidR="003F4237" w:rsidRPr="0076261A" w:rsidRDefault="003F4237" w:rsidP="00EF5AC3">
            <w:pPr>
              <w:jc w:val="both"/>
            </w:pPr>
          </w:p>
          <w:p w14:paraId="2CDF1C00" w14:textId="77777777" w:rsidR="00C478AF" w:rsidRDefault="0076261A" w:rsidP="00C478AF">
            <w:pPr>
              <w:jc w:val="both"/>
            </w:pPr>
            <w:r w:rsidRPr="0076261A">
              <w:t xml:space="preserve">Metabolic dysfunction-associated </w:t>
            </w:r>
            <w:proofErr w:type="spellStart"/>
            <w:r w:rsidRPr="0076261A">
              <w:t>steatotic</w:t>
            </w:r>
            <w:proofErr w:type="spellEnd"/>
            <w:r w:rsidRPr="0076261A">
              <w:t xml:space="preserve"> liver disease (</w:t>
            </w:r>
            <w:r>
              <w:t xml:space="preserve">MASLD </w:t>
            </w:r>
            <w:r w:rsidRPr="0076261A">
              <w:t>formerly</w:t>
            </w:r>
            <w:r>
              <w:rPr>
                <w:sz w:val="16"/>
                <w:szCs w:val="16"/>
              </w:rPr>
              <w:t xml:space="preserve"> </w:t>
            </w:r>
            <w:proofErr w:type="gramStart"/>
            <w:r w:rsidR="00C51644" w:rsidRPr="00C51644">
              <w:t>N</w:t>
            </w:r>
            <w:r w:rsidR="00C51644">
              <w:t>on Alcoholic</w:t>
            </w:r>
            <w:proofErr w:type="gramEnd"/>
            <w:r w:rsidR="00C51644">
              <w:t xml:space="preserve"> Fatty liver Disease</w:t>
            </w:r>
            <w:r>
              <w:t>)</w:t>
            </w:r>
            <w:r w:rsidR="00C51644" w:rsidRPr="00C51644">
              <w:t xml:space="preserve"> has a high prevalence and affects between 20% to 30% of the general population in the developed world (Williams et al 2015). The prevalence of </w:t>
            </w:r>
            <w:r>
              <w:t>MASLD</w:t>
            </w:r>
            <w:r w:rsidR="00C51644" w:rsidRPr="00C51644">
              <w:t xml:space="preserve"> is thought to have doubled over the past 20 years in the UK, and </w:t>
            </w:r>
            <w:r>
              <w:t>MASLD</w:t>
            </w:r>
            <w:r w:rsidRPr="00C51644">
              <w:t xml:space="preserve"> </w:t>
            </w:r>
            <w:r w:rsidR="00C51644" w:rsidRPr="00C51644">
              <w:t>is now the commonest cause of abnormal liver function tests (LFTs).</w:t>
            </w:r>
            <w:r w:rsidR="00C478AF">
              <w:t xml:space="preserve">  The impact on hepatology services throughout the UK should not be underestimated and there is desperate need to identify and manage these patients within primary care whilst ensuring that the higher risk patients with </w:t>
            </w:r>
            <w:r w:rsidR="00C51644">
              <w:t xml:space="preserve">chronic </w:t>
            </w:r>
            <w:r w:rsidR="00C478AF">
              <w:t>liver disease are seen quickly and effectively in secondary care services.</w:t>
            </w:r>
            <w:r>
              <w:t xml:space="preserve"> </w:t>
            </w:r>
            <w:r w:rsidR="00C478AF">
              <w:t>The advent of investigations such as serological markers of liver fibrosis and “</w:t>
            </w:r>
            <w:proofErr w:type="spellStart"/>
            <w:r w:rsidR="00C478AF">
              <w:t>Fibroscan</w:t>
            </w:r>
            <w:proofErr w:type="spellEnd"/>
            <w:r w:rsidR="00C478AF">
              <w:t>” to determine the degree of fibrosis or cirrhosis in the absence o</w:t>
            </w:r>
            <w:r w:rsidR="00C51644">
              <w:t>f liver biopsy, have led to the prospect of new</w:t>
            </w:r>
            <w:r w:rsidR="00C478AF">
              <w:t xml:space="preserve"> direct access pathways for GPs.</w:t>
            </w:r>
            <w:r>
              <w:t xml:space="preserve"> </w:t>
            </w:r>
            <w:r w:rsidR="00C478AF">
              <w:t xml:space="preserve">The </w:t>
            </w:r>
            <w:r>
              <w:t>MASLD</w:t>
            </w:r>
            <w:r w:rsidR="00C478AF">
              <w:t xml:space="preserve"> pathway will enable easy, rapid access to the ri</w:t>
            </w:r>
            <w:r w:rsidR="00C51644">
              <w:t>ght services for these patients.</w:t>
            </w:r>
          </w:p>
          <w:p w14:paraId="0641EE51" w14:textId="77777777" w:rsidR="0076261A" w:rsidRDefault="0076261A" w:rsidP="00C478AF">
            <w:pPr>
              <w:jc w:val="both"/>
            </w:pPr>
          </w:p>
          <w:p w14:paraId="2A604363" w14:textId="649E9CCE" w:rsidR="0076261A" w:rsidRDefault="008740A2" w:rsidP="00102153">
            <w:pPr>
              <w:jc w:val="both"/>
            </w:pPr>
            <w:r>
              <w:t xml:space="preserve">NICE </w:t>
            </w:r>
            <w:r w:rsidR="00EB33BA" w:rsidRPr="00EB33BA">
              <w:t xml:space="preserve">published </w:t>
            </w:r>
            <w:r w:rsidR="00EB33BA">
              <w:t>a d</w:t>
            </w:r>
            <w:r w:rsidR="00EB33BA" w:rsidRPr="00EB33BA">
              <w:t xml:space="preserve">iagnostics guidance [DG48] </w:t>
            </w:r>
            <w:proofErr w:type="spellStart"/>
            <w:r w:rsidR="00EB33BA" w:rsidRPr="00EB33BA">
              <w:t>FibroScan</w:t>
            </w:r>
            <w:proofErr w:type="spellEnd"/>
            <w:r w:rsidR="00EB33BA" w:rsidRPr="00EB33BA">
              <w:t xml:space="preserve"> for assessing liver fibrosis and cirrhosis in primary or community care, in June 2023. It recommends </w:t>
            </w:r>
            <w:proofErr w:type="spellStart"/>
            <w:r w:rsidR="00EB33BA" w:rsidRPr="00EB33BA">
              <w:t>FibroScan</w:t>
            </w:r>
            <w:proofErr w:type="spellEnd"/>
            <w:r w:rsidR="00EB33BA" w:rsidRPr="00EB33BA">
              <w:t xml:space="preserve"> as an option for assessing liver fibrosis or cirrhosis outside secondary and specialist care</w:t>
            </w:r>
            <w:r w:rsidR="002E1861">
              <w:t>.</w:t>
            </w:r>
            <w:r w:rsidR="00457C0D">
              <w:rPr>
                <w:rStyle w:val="FootnoteReference"/>
              </w:rPr>
              <w:footnoteReference w:id="2"/>
            </w:r>
          </w:p>
          <w:p w14:paraId="4A05FC04" w14:textId="77777777" w:rsidR="00C91465" w:rsidRDefault="00C91465" w:rsidP="00C478AF">
            <w:pPr>
              <w:jc w:val="both"/>
            </w:pPr>
          </w:p>
          <w:p w14:paraId="62A1F121" w14:textId="66EAF5DD" w:rsidR="00C91465" w:rsidRDefault="00C91465" w:rsidP="00C91465">
            <w:pPr>
              <w:jc w:val="both"/>
            </w:pPr>
            <w:r>
              <w:t xml:space="preserve">The aim of this business case is to provide the staff, equipment, support and biochemistry requirements to enable the development of a one stop nurse led liver clinic, improve access to </w:t>
            </w:r>
            <w:proofErr w:type="spellStart"/>
            <w:r>
              <w:t>fibroscanning</w:t>
            </w:r>
            <w:proofErr w:type="spellEnd"/>
            <w:r>
              <w:t xml:space="preserve"> across the </w:t>
            </w:r>
            <w:r w:rsidR="0076261A">
              <w:t>place based areas</w:t>
            </w:r>
            <w:r>
              <w:t xml:space="preserve">, access to nutritional support for patients with chronic liver disease both </w:t>
            </w:r>
            <w:r w:rsidRPr="00D07472">
              <w:t xml:space="preserve">as </w:t>
            </w:r>
            <w:r w:rsidR="00D07472" w:rsidRPr="00D07472">
              <w:t>in-patients</w:t>
            </w:r>
            <w:r w:rsidRPr="00D07472">
              <w:t xml:space="preserve"> and </w:t>
            </w:r>
            <w:r w:rsidR="00D07472" w:rsidRPr="00D07472">
              <w:t>out-patients</w:t>
            </w:r>
            <w:r w:rsidR="00D07472">
              <w:t xml:space="preserve"> </w:t>
            </w:r>
            <w:r>
              <w:t xml:space="preserve">with dedicated hepatology clinics in parallel with dieticians, shorten waiting times in consultant clinics by </w:t>
            </w:r>
            <w:proofErr w:type="spellStart"/>
            <w:r>
              <w:t>off setting</w:t>
            </w:r>
            <w:proofErr w:type="spellEnd"/>
            <w:r>
              <w:t xml:space="preserve"> </w:t>
            </w:r>
            <w:r w:rsidR="0076261A">
              <w:t>MAS</w:t>
            </w:r>
            <w:r>
              <w:t>LD referrals in the absence of cirrhosis and mild rises in ALT – these will now be managed in nurse led one stop clinic at a lower tariff or within primary care.  Enhanced nutrition in patien</w:t>
            </w:r>
            <w:r w:rsidRPr="00D07472">
              <w:t xml:space="preserve">ts with chronic liver disease improved </w:t>
            </w:r>
            <w:proofErr w:type="spellStart"/>
            <w:r w:rsidRPr="00D07472">
              <w:t>all</w:t>
            </w:r>
            <w:r w:rsidR="00760D28" w:rsidRPr="00D07472">
              <w:t xml:space="preserve"> </w:t>
            </w:r>
            <w:r w:rsidRPr="00D07472">
              <w:t>cause</w:t>
            </w:r>
            <w:proofErr w:type="spellEnd"/>
            <w:r w:rsidRPr="00D07472">
              <w:t xml:space="preserve"> mortality in this patient group and is poorly supported outside of tertiary centres.</w:t>
            </w:r>
            <w:r w:rsidR="00760D28" w:rsidRPr="00D07472">
              <w:t xml:space="preserve"> </w:t>
            </w:r>
            <w:r w:rsidRPr="00D07472">
              <w:t xml:space="preserve">This business case allows a dedicated dietician to support outpatients with chronic liver disease as well as developing an </w:t>
            </w:r>
            <w:r w:rsidR="00D07472" w:rsidRPr="00D07472">
              <w:t xml:space="preserve">out-patient nasogastric service </w:t>
            </w:r>
            <w:r w:rsidRPr="00D07472">
              <w:t>that</w:t>
            </w:r>
            <w:r>
              <w:t xml:space="preserve"> will prevent </w:t>
            </w:r>
            <w:r w:rsidR="00760D28">
              <w:t xml:space="preserve">the </w:t>
            </w:r>
            <w:r>
              <w:t>need for admission for feedin</w:t>
            </w:r>
            <w:r w:rsidR="00760D28">
              <w:t xml:space="preserve">g - </w:t>
            </w:r>
            <w:r>
              <w:t>particularly in patients heading towards liver transplant.</w:t>
            </w:r>
          </w:p>
          <w:p w14:paraId="79AC6A5B" w14:textId="77777777" w:rsidR="00C478AF" w:rsidRDefault="00C478AF" w:rsidP="00C478AF">
            <w:pPr>
              <w:jc w:val="both"/>
            </w:pPr>
          </w:p>
          <w:p w14:paraId="6679306C" w14:textId="77777777" w:rsidR="00C478AF" w:rsidRDefault="00C51644" w:rsidP="00C478AF">
            <w:pPr>
              <w:jc w:val="both"/>
            </w:pPr>
            <w:r>
              <w:t xml:space="preserve">We propose </w:t>
            </w:r>
            <w:r w:rsidR="002267D5">
              <w:t>the</w:t>
            </w:r>
            <w:r>
              <w:t xml:space="preserve"> reconfiguration of the referral pathway to hepatology along with improvement</w:t>
            </w:r>
            <w:r w:rsidR="002267D5">
              <w:t>s</w:t>
            </w:r>
            <w:r>
              <w:t xml:space="preserve"> in </w:t>
            </w:r>
            <w:proofErr w:type="gramStart"/>
            <w:r w:rsidR="00760D28">
              <w:t>place based</w:t>
            </w:r>
            <w:proofErr w:type="gramEnd"/>
            <w:r>
              <w:t xml:space="preserve"> services and prospective monitoring of outcomes. </w:t>
            </w:r>
            <w:r w:rsidR="00760D28">
              <w:t>E</w:t>
            </w:r>
            <w:r w:rsidR="00C478AF">
              <w:t xml:space="preserve">nhanced </w:t>
            </w:r>
            <w:proofErr w:type="gramStart"/>
            <w:r w:rsidR="002267D5">
              <w:t>place based</w:t>
            </w:r>
            <w:proofErr w:type="gramEnd"/>
            <w:r w:rsidR="00C478AF">
              <w:t xml:space="preserve"> liver service</w:t>
            </w:r>
            <w:r w:rsidR="00760D28">
              <w:t>s</w:t>
            </w:r>
            <w:r w:rsidR="00C478AF">
              <w:t xml:space="preserve"> will include outpatient management of resistant ascites (already a national exemplar of best practice), a one stop liver clinic for investigation and management of suspected chronic liver disease as well as enhanced nutritional support for patients with chronic liver disease and early identification of patients with encephalopathy (“Flicker Testing”).  </w:t>
            </w:r>
          </w:p>
          <w:p w14:paraId="524399BE" w14:textId="77777777" w:rsidR="00F071DD" w:rsidRDefault="00F071DD" w:rsidP="00C478AF">
            <w:pPr>
              <w:jc w:val="both"/>
            </w:pPr>
          </w:p>
          <w:p w14:paraId="7ED0F2E0" w14:textId="0E7F6293" w:rsidR="00B93021" w:rsidRDefault="004B4358" w:rsidP="00BC4019">
            <w:pPr>
              <w:jc w:val="both"/>
            </w:pPr>
            <w:r>
              <w:t xml:space="preserve">We hope to see a reduction in DNA rates as waiting times reduce in consultant led clinics and enable hepatologists to run specialist hepatology clinics at the higher tariff rate.  </w:t>
            </w:r>
            <w:r w:rsidR="004113F5">
              <w:t xml:space="preserve">Place based </w:t>
            </w:r>
            <w:r>
              <w:t xml:space="preserve">referrals to the new nurse led clinic will be at a lower tariff.  After the initial outlay for the </w:t>
            </w:r>
            <w:proofErr w:type="spellStart"/>
            <w:r>
              <w:t>fibroscanner</w:t>
            </w:r>
            <w:proofErr w:type="spellEnd"/>
            <w:r>
              <w:t xml:space="preserve"> and IT package to set up biochemistry testing, the service </w:t>
            </w:r>
            <w:r w:rsidR="004113F5">
              <w:t>should</w:t>
            </w:r>
            <w:r>
              <w:t xml:space="preserve"> be cost neutral and will </w:t>
            </w:r>
            <w:r w:rsidR="004113F5">
              <w:t xml:space="preserve">need to be </w:t>
            </w:r>
            <w:r>
              <w:t>prospectively audit</w:t>
            </w:r>
            <w:r w:rsidR="004113F5">
              <w:t>ed</w:t>
            </w:r>
            <w:r>
              <w:t xml:space="preserve"> to ensure that this remains the most cost effective and clinically efficient service to both the Trust and </w:t>
            </w:r>
            <w:r w:rsidR="004113F5">
              <w:t xml:space="preserve">Integrated Care Board, </w:t>
            </w:r>
            <w:r>
              <w:t>whilst ensuring that the right patient gets to the right clinic in a timely manner</w:t>
            </w:r>
            <w:r w:rsidR="00C51644">
              <w:t xml:space="preserve"> and with the optimal care</w:t>
            </w:r>
            <w:r>
              <w:t>.</w:t>
            </w:r>
          </w:p>
          <w:p w14:paraId="31026E51" w14:textId="77777777" w:rsidR="0038682B" w:rsidRDefault="0038682B" w:rsidP="00EF5AC3">
            <w:pPr>
              <w:jc w:val="both"/>
              <w:rPr>
                <w:bCs/>
              </w:rPr>
            </w:pPr>
          </w:p>
          <w:p w14:paraId="77DE920E" w14:textId="77777777" w:rsidR="002E1861" w:rsidRDefault="002E1861" w:rsidP="00EF5AC3">
            <w:pPr>
              <w:jc w:val="both"/>
              <w:rPr>
                <w:bCs/>
              </w:rPr>
            </w:pPr>
          </w:p>
          <w:p w14:paraId="1B8AA563" w14:textId="77777777" w:rsidR="00CD43C6" w:rsidRDefault="00CD43C6" w:rsidP="00EF5AC3">
            <w:pPr>
              <w:jc w:val="both"/>
              <w:rPr>
                <w:bCs/>
              </w:rPr>
            </w:pPr>
          </w:p>
          <w:p w14:paraId="30F776B2" w14:textId="77777777" w:rsidR="00CD43C6" w:rsidRPr="000B1F1D" w:rsidRDefault="00CD43C6" w:rsidP="00EF5AC3">
            <w:pPr>
              <w:jc w:val="both"/>
              <w:rPr>
                <w:bCs/>
              </w:rPr>
            </w:pPr>
          </w:p>
        </w:tc>
      </w:tr>
    </w:tbl>
    <w:p w14:paraId="03176E11" w14:textId="77777777" w:rsidR="00132248" w:rsidRDefault="00132248" w:rsidP="003049BE">
      <w:pPr>
        <w:rPr>
          <w:rFonts w:cs="Arial"/>
        </w:rPr>
      </w:pPr>
    </w:p>
    <w:p w14:paraId="34E63DAB" w14:textId="77777777" w:rsidR="00783BEE" w:rsidRDefault="00783BEE" w:rsidP="003049BE">
      <w:pPr>
        <w:rPr>
          <w:rFonts w:cs="Arial"/>
        </w:rPr>
      </w:pPr>
    </w:p>
    <w:p w14:paraId="7FD8AB80" w14:textId="77777777" w:rsidR="00783BEE" w:rsidRPr="00A94F84" w:rsidRDefault="00783BEE" w:rsidP="003049BE">
      <w:pPr>
        <w:rPr>
          <w:rFonts w:cs="Arial"/>
        </w:rPr>
      </w:pPr>
    </w:p>
    <w:p w14:paraId="3638514D" w14:textId="77777777" w:rsidR="003049BE" w:rsidRPr="00A94F84" w:rsidRDefault="003049BE" w:rsidP="003049BE">
      <w:pPr>
        <w:ind w:left="-720"/>
        <w:rPr>
          <w:rFonts w:cs="Arial"/>
          <w:b/>
          <w:sz w:val="24"/>
          <w:szCs w:val="24"/>
        </w:rPr>
      </w:pPr>
      <w:r w:rsidRPr="00A94F84">
        <w:rPr>
          <w:rFonts w:cs="Arial"/>
          <w:b/>
          <w:sz w:val="24"/>
          <w:szCs w:val="24"/>
        </w:rPr>
        <w:t>2. Pro</w:t>
      </w:r>
      <w:r w:rsidR="002365E3">
        <w:rPr>
          <w:rFonts w:cs="Arial"/>
          <w:b/>
          <w:sz w:val="24"/>
          <w:szCs w:val="24"/>
        </w:rPr>
        <w:t>posal</w:t>
      </w:r>
    </w:p>
    <w:tbl>
      <w:tblPr>
        <w:tblW w:w="10080" w:type="dxa"/>
        <w:tblInd w:w="-31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0080"/>
      </w:tblGrid>
      <w:tr w:rsidR="003049BE" w:rsidRPr="00A94F84" w14:paraId="23EA2DD4" w14:textId="77777777" w:rsidTr="00473F00">
        <w:trPr>
          <w:trHeight w:val="397"/>
        </w:trPr>
        <w:tc>
          <w:tcPr>
            <w:tcW w:w="10080" w:type="dxa"/>
            <w:shd w:val="clear" w:color="auto" w:fill="CCC0D9"/>
            <w:vAlign w:val="center"/>
          </w:tcPr>
          <w:p w14:paraId="2993BDEE" w14:textId="77777777" w:rsidR="003049BE" w:rsidRPr="0039076F" w:rsidRDefault="003049BE" w:rsidP="00367A1D">
            <w:pPr>
              <w:rPr>
                <w:rFonts w:cs="Arial"/>
                <w:b/>
                <w:bCs/>
              </w:rPr>
            </w:pPr>
            <w:r w:rsidRPr="0039076F">
              <w:rPr>
                <w:rFonts w:cs="Arial"/>
                <w:b/>
                <w:bCs/>
              </w:rPr>
              <w:t>Objectives</w:t>
            </w:r>
            <w:r w:rsidR="00420D56">
              <w:rPr>
                <w:rFonts w:cs="Arial"/>
                <w:b/>
                <w:bCs/>
              </w:rPr>
              <w:t xml:space="preserve"> </w:t>
            </w:r>
            <w:r w:rsidR="00367A1D">
              <w:rPr>
                <w:rFonts w:cs="Arial"/>
                <w:b/>
                <w:bCs/>
              </w:rPr>
              <w:t>/ Benefits</w:t>
            </w:r>
            <w:r w:rsidR="00783BEE">
              <w:rPr>
                <w:rFonts w:cs="Arial"/>
                <w:b/>
                <w:bCs/>
              </w:rPr>
              <w:t xml:space="preserve"> / recurring and </w:t>
            </w:r>
            <w:proofErr w:type="gramStart"/>
            <w:r w:rsidR="00783BEE">
              <w:rPr>
                <w:rFonts w:cs="Arial"/>
                <w:b/>
                <w:bCs/>
              </w:rPr>
              <w:t>non recurring</w:t>
            </w:r>
            <w:proofErr w:type="gramEnd"/>
          </w:p>
        </w:tc>
      </w:tr>
      <w:tr w:rsidR="003049BE" w:rsidRPr="00A94F84" w14:paraId="4A25CB3D" w14:textId="77777777" w:rsidTr="0039076F">
        <w:tc>
          <w:tcPr>
            <w:tcW w:w="10080" w:type="dxa"/>
          </w:tcPr>
          <w:p w14:paraId="69ECD3BD" w14:textId="77777777" w:rsidR="000824FA" w:rsidRDefault="000824FA" w:rsidP="000824FA">
            <w:pPr>
              <w:ind w:left="720"/>
              <w:jc w:val="both"/>
            </w:pPr>
          </w:p>
          <w:p w14:paraId="3D83DC91" w14:textId="77777777" w:rsidR="00F071DD" w:rsidRDefault="00F13A40" w:rsidP="00F071DD">
            <w:pPr>
              <w:rPr>
                <w:bCs/>
              </w:rPr>
            </w:pPr>
            <w:r>
              <w:rPr>
                <w:bCs/>
              </w:rPr>
              <w:t xml:space="preserve">Example services </w:t>
            </w:r>
            <w:proofErr w:type="gramStart"/>
            <w:r>
              <w:rPr>
                <w:bCs/>
              </w:rPr>
              <w:t>offer</w:t>
            </w:r>
            <w:proofErr w:type="gramEnd"/>
          </w:p>
          <w:p w14:paraId="06B17787" w14:textId="77777777" w:rsidR="00F071DD" w:rsidRDefault="00F071DD" w:rsidP="00F071DD">
            <w:pPr>
              <w:rPr>
                <w:bCs/>
              </w:rPr>
            </w:pPr>
          </w:p>
          <w:p w14:paraId="61432924" w14:textId="77777777" w:rsidR="00F071DD" w:rsidRDefault="00F071DD" w:rsidP="00F071DD">
            <w:pPr>
              <w:rPr>
                <w:bCs/>
              </w:rPr>
            </w:pPr>
            <w:r w:rsidRPr="00F071DD">
              <w:rPr>
                <w:bCs/>
                <w:u w:val="single"/>
              </w:rPr>
              <w:t xml:space="preserve">Purchase of a mobile </w:t>
            </w:r>
            <w:proofErr w:type="spellStart"/>
            <w:r w:rsidRPr="00F071DD">
              <w:rPr>
                <w:bCs/>
                <w:u w:val="single"/>
              </w:rPr>
              <w:t>fibroscanner</w:t>
            </w:r>
            <w:proofErr w:type="spellEnd"/>
            <w:r>
              <w:rPr>
                <w:bCs/>
              </w:rPr>
              <w:t xml:space="preserve"> to ensure </w:t>
            </w:r>
            <w:proofErr w:type="gramStart"/>
            <w:r w:rsidR="00F13A40">
              <w:rPr>
                <w:bCs/>
              </w:rPr>
              <w:t>place based</w:t>
            </w:r>
            <w:proofErr w:type="gramEnd"/>
            <w:r>
              <w:rPr>
                <w:bCs/>
              </w:rPr>
              <w:t xml:space="preserve"> </w:t>
            </w:r>
            <w:r w:rsidR="00F13A40">
              <w:rPr>
                <w:bCs/>
              </w:rPr>
              <w:t>need</w:t>
            </w:r>
            <w:r>
              <w:rPr>
                <w:bCs/>
              </w:rPr>
              <w:t xml:space="preserve"> and enable access to </w:t>
            </w:r>
            <w:proofErr w:type="spellStart"/>
            <w:r>
              <w:rPr>
                <w:bCs/>
              </w:rPr>
              <w:t>fibroscanning</w:t>
            </w:r>
            <w:proofErr w:type="spellEnd"/>
            <w:r>
              <w:rPr>
                <w:bCs/>
              </w:rPr>
              <w:t xml:space="preserve"> on ward as well as in all clinics across sites.  </w:t>
            </w:r>
          </w:p>
          <w:p w14:paraId="688E45A2" w14:textId="77777777" w:rsidR="00F071DD" w:rsidRPr="00F071DD" w:rsidRDefault="00F071DD" w:rsidP="00F071DD">
            <w:pPr>
              <w:rPr>
                <w:bCs/>
              </w:rPr>
            </w:pPr>
          </w:p>
          <w:p w14:paraId="351245D9" w14:textId="77777777" w:rsidR="00F071DD" w:rsidRPr="00F071DD" w:rsidRDefault="00F071DD" w:rsidP="00F071DD">
            <w:pPr>
              <w:rPr>
                <w:bCs/>
                <w:u w:val="single"/>
              </w:rPr>
            </w:pPr>
            <w:r w:rsidRPr="00F071DD">
              <w:rPr>
                <w:bCs/>
                <w:u w:val="single"/>
              </w:rPr>
              <w:t xml:space="preserve">Direct access for </w:t>
            </w:r>
            <w:proofErr w:type="spellStart"/>
            <w:r w:rsidRPr="00F071DD">
              <w:rPr>
                <w:bCs/>
                <w:u w:val="single"/>
              </w:rPr>
              <w:t>fibroscanning</w:t>
            </w:r>
            <w:proofErr w:type="spellEnd"/>
            <w:r w:rsidRPr="00F071DD">
              <w:rPr>
                <w:bCs/>
                <w:u w:val="single"/>
              </w:rPr>
              <w:t xml:space="preserve"> for patients with hazardous alcohol intake:</w:t>
            </w:r>
          </w:p>
          <w:p w14:paraId="190E6230" w14:textId="77777777" w:rsidR="00F071DD" w:rsidRPr="00F071DD" w:rsidRDefault="00F071DD" w:rsidP="00F071DD">
            <w:pPr>
              <w:rPr>
                <w:bCs/>
              </w:rPr>
            </w:pPr>
            <w:r w:rsidRPr="00F071DD">
              <w:rPr>
                <w:bCs/>
              </w:rPr>
              <w:t>This encompasses alcohol dependence / alcoholism.</w:t>
            </w:r>
          </w:p>
          <w:p w14:paraId="57D9826F" w14:textId="77777777" w:rsidR="00F071DD" w:rsidRPr="00F071DD" w:rsidRDefault="00F071DD" w:rsidP="00F071DD">
            <w:pPr>
              <w:rPr>
                <w:bCs/>
              </w:rPr>
            </w:pPr>
            <w:r w:rsidRPr="00F071DD">
              <w:rPr>
                <w:bCs/>
              </w:rPr>
              <w:t>NICE define this as:</w:t>
            </w:r>
          </w:p>
          <w:p w14:paraId="4E6DC29A" w14:textId="77777777" w:rsidR="00F071DD" w:rsidRPr="00F071DD" w:rsidRDefault="00F071DD" w:rsidP="00F071DD">
            <w:pPr>
              <w:rPr>
                <w:bCs/>
              </w:rPr>
            </w:pPr>
            <w:r w:rsidRPr="00F071DD">
              <w:rPr>
                <w:bCs/>
              </w:rPr>
              <w:t>-men who drink over 50 units of alcohol per week and have done so for a minimum several months</w:t>
            </w:r>
          </w:p>
          <w:p w14:paraId="63CF6576" w14:textId="77777777" w:rsidR="00F071DD" w:rsidRPr="00F071DD" w:rsidRDefault="00F071DD" w:rsidP="00F071DD">
            <w:pPr>
              <w:rPr>
                <w:bCs/>
              </w:rPr>
            </w:pPr>
            <w:r w:rsidRPr="00F071DD">
              <w:rPr>
                <w:bCs/>
              </w:rPr>
              <w:t>-women who drink over 35 units of alcohol per week and have done so for a minimum several months</w:t>
            </w:r>
          </w:p>
          <w:p w14:paraId="26743FB4" w14:textId="77777777" w:rsidR="00F071DD" w:rsidRPr="00F071DD" w:rsidRDefault="00F071DD" w:rsidP="00F071DD">
            <w:pPr>
              <w:rPr>
                <w:bCs/>
              </w:rPr>
            </w:pPr>
            <w:r w:rsidRPr="00F071DD">
              <w:rPr>
                <w:bCs/>
              </w:rPr>
              <w:t xml:space="preserve">Lifestyle advice and support in primary care for those with low </w:t>
            </w:r>
            <w:proofErr w:type="spellStart"/>
            <w:r w:rsidRPr="00F071DD">
              <w:rPr>
                <w:bCs/>
              </w:rPr>
              <w:t>fibroscan</w:t>
            </w:r>
            <w:proofErr w:type="spellEnd"/>
            <w:r w:rsidRPr="00F071DD">
              <w:rPr>
                <w:bCs/>
              </w:rPr>
              <w:t xml:space="preserve"> scores – no need for referral to secondary care</w:t>
            </w:r>
          </w:p>
          <w:p w14:paraId="54BC9C14" w14:textId="77777777" w:rsidR="00F071DD" w:rsidRPr="00F071DD" w:rsidRDefault="00F071DD" w:rsidP="00F071DD">
            <w:pPr>
              <w:rPr>
                <w:bCs/>
              </w:rPr>
            </w:pPr>
          </w:p>
          <w:p w14:paraId="62BC943D" w14:textId="5813E34D" w:rsidR="00F071DD" w:rsidRPr="00F071DD" w:rsidRDefault="00F071DD" w:rsidP="00F071DD">
            <w:pPr>
              <w:rPr>
                <w:bCs/>
                <w:u w:val="single"/>
              </w:rPr>
            </w:pPr>
            <w:r w:rsidRPr="00F071DD">
              <w:rPr>
                <w:bCs/>
                <w:u w:val="single"/>
              </w:rPr>
              <w:t xml:space="preserve">FIB 4 will be implemented as a single access on </w:t>
            </w:r>
            <w:r w:rsidR="00F71697" w:rsidRPr="00F071DD">
              <w:rPr>
                <w:bCs/>
                <w:u w:val="single"/>
              </w:rPr>
              <w:t xml:space="preserve">ICE for GPs </w:t>
            </w:r>
            <w:r w:rsidRPr="00F071DD">
              <w:rPr>
                <w:bCs/>
                <w:u w:val="single"/>
              </w:rPr>
              <w:t>to help identify patients who require referral.</w:t>
            </w:r>
          </w:p>
          <w:p w14:paraId="778FD45B" w14:textId="77777777" w:rsidR="00F071DD" w:rsidRPr="00F071DD" w:rsidRDefault="00B43442" w:rsidP="00F071DD">
            <w:pPr>
              <w:rPr>
                <w:bCs/>
              </w:rPr>
            </w:pPr>
            <w:r>
              <w:rPr>
                <w:bCs/>
              </w:rPr>
              <w:t>The FIB4 e</w:t>
            </w:r>
            <w:r w:rsidR="00F071DD" w:rsidRPr="00F071DD">
              <w:rPr>
                <w:bCs/>
              </w:rPr>
              <w:t xml:space="preserve">valuates liver fibrosis based on age, platelet count, </w:t>
            </w:r>
            <w:proofErr w:type="gramStart"/>
            <w:r w:rsidR="00F071DD" w:rsidRPr="00F071DD">
              <w:rPr>
                <w:bCs/>
              </w:rPr>
              <w:t>AST</w:t>
            </w:r>
            <w:proofErr w:type="gramEnd"/>
            <w:r w:rsidR="00F071DD" w:rsidRPr="00F071DD">
              <w:rPr>
                <w:bCs/>
              </w:rPr>
              <w:t xml:space="preserve"> and ALT to help with fibrosis/cirrhosis diagnosis.  The FIB 4 score evaluates the degree of fibrosis in patients suspected of or already diagnosed with hepatic fibrosis.</w:t>
            </w:r>
          </w:p>
          <w:p w14:paraId="63D28BFC" w14:textId="77777777" w:rsidR="00F071DD" w:rsidRPr="00F071DD" w:rsidRDefault="00F071DD" w:rsidP="00F071DD">
            <w:pPr>
              <w:rPr>
                <w:bCs/>
              </w:rPr>
            </w:pPr>
            <w:r w:rsidRPr="00F071DD">
              <w:rPr>
                <w:bCs/>
              </w:rPr>
              <w:t xml:space="preserve">The score contributes to </w:t>
            </w:r>
            <w:r w:rsidRPr="00F13A40">
              <w:rPr>
                <w:bCs/>
              </w:rPr>
              <w:t xml:space="preserve">assessment of </w:t>
            </w:r>
            <w:r w:rsidR="00F13A40">
              <w:rPr>
                <w:bCs/>
              </w:rPr>
              <w:t>m</w:t>
            </w:r>
            <w:r w:rsidR="00F13A40" w:rsidRPr="00F13A40">
              <w:rPr>
                <w:bCs/>
              </w:rPr>
              <w:t>etabolic-associated steatohepatitis</w:t>
            </w:r>
            <w:r w:rsidR="00F13A40">
              <w:rPr>
                <w:bCs/>
              </w:rPr>
              <w:t xml:space="preserve"> </w:t>
            </w:r>
            <w:r w:rsidR="00F13A40" w:rsidRPr="00F13A40">
              <w:rPr>
                <w:bCs/>
              </w:rPr>
              <w:t xml:space="preserve">MASH </w:t>
            </w:r>
            <w:r w:rsidR="00F13A40">
              <w:rPr>
                <w:bCs/>
              </w:rPr>
              <w:t>(</w:t>
            </w:r>
            <w:r w:rsidR="00F13A40" w:rsidRPr="00F13A40">
              <w:rPr>
                <w:bCs/>
              </w:rPr>
              <w:t xml:space="preserve">formerly </w:t>
            </w:r>
            <w:r w:rsidRPr="00F13A40">
              <w:rPr>
                <w:bCs/>
              </w:rPr>
              <w:t>NASH non-alcoholic steatohepatitis</w:t>
            </w:r>
            <w:r w:rsidRPr="00F071DD">
              <w:rPr>
                <w:bCs/>
              </w:rPr>
              <w:t>), HCV (hepatic C virus) or cholestatic and metabolic liver diseases.</w:t>
            </w:r>
          </w:p>
          <w:p w14:paraId="1F51362A" w14:textId="77777777" w:rsidR="00F071DD" w:rsidRPr="00F071DD" w:rsidRDefault="00F071DD" w:rsidP="00F071DD">
            <w:pPr>
              <w:rPr>
                <w:bCs/>
              </w:rPr>
            </w:pPr>
            <w:r w:rsidRPr="00F071DD">
              <w:rPr>
                <w:bCs/>
              </w:rPr>
              <w:t xml:space="preserve">There are four variables </w:t>
            </w:r>
            <w:proofErr w:type="gramStart"/>
            <w:r w:rsidRPr="00F071DD">
              <w:rPr>
                <w:bCs/>
              </w:rPr>
              <w:t>taken into account</w:t>
            </w:r>
            <w:proofErr w:type="gramEnd"/>
            <w:r w:rsidRPr="00F071DD">
              <w:rPr>
                <w:bCs/>
              </w:rPr>
              <w:t>:</w:t>
            </w:r>
          </w:p>
          <w:p w14:paraId="0997A727" w14:textId="77777777" w:rsidR="00F071DD" w:rsidRPr="00F071DD" w:rsidRDefault="00F071DD" w:rsidP="00F071DD">
            <w:pPr>
              <w:rPr>
                <w:bCs/>
              </w:rPr>
            </w:pPr>
            <w:r w:rsidRPr="00F071DD">
              <w:rPr>
                <w:bCs/>
              </w:rPr>
              <w:t>•</w:t>
            </w:r>
            <w:r w:rsidRPr="00F071DD">
              <w:rPr>
                <w:bCs/>
              </w:rPr>
              <w:tab/>
              <w:t>Patient age is used because there is a direct correlation between age increase and progression of liver fibrosis. This is particularly obvious in patients with hepatitis C and chronic alcohol consumption.</w:t>
            </w:r>
          </w:p>
          <w:p w14:paraId="19F437FF" w14:textId="77777777" w:rsidR="00F071DD" w:rsidRPr="00F071DD" w:rsidRDefault="00F071DD" w:rsidP="00F071DD">
            <w:pPr>
              <w:rPr>
                <w:bCs/>
              </w:rPr>
            </w:pPr>
            <w:r w:rsidRPr="00F071DD">
              <w:rPr>
                <w:bCs/>
              </w:rPr>
              <w:t>•</w:t>
            </w:r>
            <w:r w:rsidRPr="00F071DD">
              <w:rPr>
                <w:bCs/>
              </w:rPr>
              <w:tab/>
              <w:t xml:space="preserve">AST (aspartate aminotransferase) </w:t>
            </w:r>
          </w:p>
          <w:p w14:paraId="4914E749" w14:textId="77777777" w:rsidR="00F071DD" w:rsidRPr="00F071DD" w:rsidRDefault="00F071DD" w:rsidP="00F071DD">
            <w:pPr>
              <w:rPr>
                <w:bCs/>
              </w:rPr>
            </w:pPr>
            <w:r w:rsidRPr="00F071DD">
              <w:rPr>
                <w:bCs/>
              </w:rPr>
              <w:t>•</w:t>
            </w:r>
            <w:r w:rsidRPr="00F071DD">
              <w:rPr>
                <w:bCs/>
              </w:rPr>
              <w:tab/>
              <w:t xml:space="preserve">ALT (alanine aminotransferase) </w:t>
            </w:r>
          </w:p>
          <w:p w14:paraId="41F9B775" w14:textId="77777777" w:rsidR="00F071DD" w:rsidRPr="00F071DD" w:rsidRDefault="00F071DD" w:rsidP="00F071DD">
            <w:pPr>
              <w:rPr>
                <w:bCs/>
              </w:rPr>
            </w:pPr>
            <w:r w:rsidRPr="00F071DD">
              <w:rPr>
                <w:bCs/>
              </w:rPr>
              <w:t>•</w:t>
            </w:r>
            <w:r w:rsidRPr="00F071DD">
              <w:rPr>
                <w:bCs/>
              </w:rPr>
              <w:tab/>
              <w:t xml:space="preserve">Platelet count </w:t>
            </w:r>
          </w:p>
          <w:p w14:paraId="23FFD87A" w14:textId="77777777" w:rsidR="00F071DD" w:rsidRPr="00F071DD" w:rsidRDefault="00F071DD" w:rsidP="00F071DD">
            <w:pPr>
              <w:rPr>
                <w:bCs/>
              </w:rPr>
            </w:pPr>
            <w:r w:rsidRPr="00F071DD">
              <w:rPr>
                <w:bCs/>
              </w:rPr>
              <w:t>This score employs the following equation:</w:t>
            </w:r>
          </w:p>
          <w:p w14:paraId="2920730C" w14:textId="77777777" w:rsidR="00F071DD" w:rsidRPr="00F071DD" w:rsidRDefault="00F071DD" w:rsidP="00F071DD">
            <w:pPr>
              <w:rPr>
                <w:bCs/>
              </w:rPr>
            </w:pPr>
            <w:r w:rsidRPr="00F071DD">
              <w:rPr>
                <w:bCs/>
              </w:rPr>
              <w:t>FIB 4 = (Age x AST) / (Platelet count x √</w:t>
            </w:r>
            <w:proofErr w:type="gramStart"/>
            <w:r w:rsidRPr="00F071DD">
              <w:rPr>
                <w:bCs/>
              </w:rPr>
              <w:t>ALT )</w:t>
            </w:r>
            <w:proofErr w:type="gramEnd"/>
            <w:r w:rsidRPr="00F071DD">
              <w:rPr>
                <w:bCs/>
              </w:rPr>
              <w:t xml:space="preserve"> </w:t>
            </w:r>
          </w:p>
          <w:p w14:paraId="5CEA6C13" w14:textId="77777777" w:rsidR="00F071DD" w:rsidRPr="00F071DD" w:rsidRDefault="00F071DD" w:rsidP="00F071DD">
            <w:pPr>
              <w:rPr>
                <w:bCs/>
              </w:rPr>
            </w:pPr>
            <w:r w:rsidRPr="00F071DD">
              <w:rPr>
                <w:bCs/>
              </w:rPr>
              <w:t>The result provided from the above equation is interpreted according to two cut off values:</w:t>
            </w:r>
          </w:p>
          <w:p w14:paraId="2840F124" w14:textId="77777777" w:rsidR="00F071DD" w:rsidRPr="00F071DD" w:rsidRDefault="00F071DD" w:rsidP="00F071DD">
            <w:pPr>
              <w:rPr>
                <w:bCs/>
              </w:rPr>
            </w:pPr>
            <w:r w:rsidRPr="00F071DD">
              <w:rPr>
                <w:bCs/>
              </w:rPr>
              <w:t>•</w:t>
            </w:r>
            <w:r w:rsidRPr="00F071DD">
              <w:rPr>
                <w:bCs/>
              </w:rPr>
              <w:tab/>
              <w:t>FIB 4 &lt;1.45 indicates absence of cirrhosis (with a negative predictive value of 90% for advanced fibrosis</w:t>
            </w:r>
            <w:proofErr w:type="gramStart"/>
            <w:r w:rsidRPr="00F071DD">
              <w:rPr>
                <w:bCs/>
              </w:rPr>
              <w:t>);</w:t>
            </w:r>
            <w:proofErr w:type="gramEnd"/>
          </w:p>
          <w:p w14:paraId="5E6FBC8E" w14:textId="77777777" w:rsidR="00F071DD" w:rsidRPr="00F071DD" w:rsidRDefault="00F071DD" w:rsidP="00F071DD">
            <w:pPr>
              <w:rPr>
                <w:bCs/>
              </w:rPr>
            </w:pPr>
            <w:r w:rsidRPr="00F071DD">
              <w:rPr>
                <w:bCs/>
              </w:rPr>
              <w:t>•</w:t>
            </w:r>
            <w:r w:rsidRPr="00F071DD">
              <w:rPr>
                <w:bCs/>
              </w:rPr>
              <w:tab/>
              <w:t xml:space="preserve">FIB 4 between 1.45 - 3.25 are deemed </w:t>
            </w:r>
            <w:proofErr w:type="gramStart"/>
            <w:r w:rsidRPr="00F071DD">
              <w:rPr>
                <w:bCs/>
              </w:rPr>
              <w:t>inconclusive;</w:t>
            </w:r>
            <w:proofErr w:type="gramEnd"/>
          </w:p>
          <w:p w14:paraId="7FA1828D" w14:textId="77777777" w:rsidR="00F071DD" w:rsidRPr="00F071DD" w:rsidRDefault="00F071DD" w:rsidP="00F071DD">
            <w:pPr>
              <w:rPr>
                <w:bCs/>
              </w:rPr>
            </w:pPr>
            <w:r w:rsidRPr="00F071DD">
              <w:rPr>
                <w:bCs/>
              </w:rPr>
              <w:t>•</w:t>
            </w:r>
            <w:r w:rsidRPr="00F071DD">
              <w:rPr>
                <w:bCs/>
              </w:rPr>
              <w:tab/>
              <w:t>FIB 4 &gt;3.25 indicates cirrhosis (with a positive predictive value of 65% for advanced fibrosis).</w:t>
            </w:r>
          </w:p>
          <w:p w14:paraId="721A5BCC" w14:textId="77777777" w:rsidR="00F071DD" w:rsidRPr="00F071DD" w:rsidRDefault="00F071DD" w:rsidP="00F071DD">
            <w:pPr>
              <w:rPr>
                <w:bCs/>
              </w:rPr>
            </w:pPr>
          </w:p>
          <w:p w14:paraId="7840959F" w14:textId="77777777" w:rsidR="00F071DD" w:rsidRDefault="00F071DD" w:rsidP="00F071DD">
            <w:pPr>
              <w:rPr>
                <w:bCs/>
              </w:rPr>
            </w:pPr>
            <w:r w:rsidRPr="00F071DD">
              <w:rPr>
                <w:bCs/>
              </w:rPr>
              <w:t xml:space="preserve">Set up costs £1000 without recurring costs.  Potential saving has also been discussed with biochemistry </w:t>
            </w:r>
            <w:proofErr w:type="gramStart"/>
            <w:r w:rsidRPr="00F071DD">
              <w:rPr>
                <w:bCs/>
              </w:rPr>
              <w:t>in regards to</w:t>
            </w:r>
            <w:proofErr w:type="gramEnd"/>
            <w:r w:rsidRPr="00F071DD">
              <w:rPr>
                <w:bCs/>
              </w:rPr>
              <w:t xml:space="preserve"> refining the NILS screen and ensuring FIB4 is only requested on appropriate patients who fulfil the criteria.  GGT is being removed from standard liver function tests requested in primary care but will still be available on request.</w:t>
            </w:r>
          </w:p>
          <w:p w14:paraId="60B8DFFC" w14:textId="77777777" w:rsidR="00F071DD" w:rsidRDefault="00F071DD" w:rsidP="00F071DD">
            <w:pPr>
              <w:rPr>
                <w:bCs/>
              </w:rPr>
            </w:pPr>
          </w:p>
          <w:p w14:paraId="2F759DB1" w14:textId="77777777" w:rsidR="00F071DD" w:rsidRPr="00F071DD" w:rsidRDefault="00F071DD" w:rsidP="00F071DD">
            <w:pPr>
              <w:rPr>
                <w:bCs/>
              </w:rPr>
            </w:pPr>
            <w:r w:rsidRPr="00F071DD">
              <w:rPr>
                <w:bCs/>
                <w:u w:val="single"/>
              </w:rPr>
              <w:t>Hepatology dietician</w:t>
            </w:r>
            <w:r>
              <w:rPr>
                <w:bCs/>
              </w:rPr>
              <w:t xml:space="preserve"> – parallel clinics for chronic liver disease with both nurse led and consultant service, OP support for patients heading to transplant, NG support as OP without need for admission, enhanced IP service for patients with decompensated liver disease.</w:t>
            </w:r>
          </w:p>
          <w:p w14:paraId="4E2F4C4B" w14:textId="77777777" w:rsidR="00F54260" w:rsidRDefault="00F54260" w:rsidP="00313E4E">
            <w:pPr>
              <w:rPr>
                <w:bCs/>
              </w:rPr>
            </w:pPr>
          </w:p>
          <w:p w14:paraId="078EAD8B" w14:textId="77777777" w:rsidR="006E6E22" w:rsidRDefault="006E6E22" w:rsidP="000156C7">
            <w:pPr>
              <w:ind w:left="720"/>
              <w:rPr>
                <w:bCs/>
              </w:rPr>
            </w:pPr>
          </w:p>
          <w:p w14:paraId="07A46E3D" w14:textId="77777777" w:rsidR="000156C7" w:rsidRPr="00947B7D" w:rsidRDefault="000156C7" w:rsidP="00F7177F">
            <w:pPr>
              <w:rPr>
                <w:bCs/>
              </w:rPr>
            </w:pPr>
          </w:p>
        </w:tc>
      </w:tr>
    </w:tbl>
    <w:p w14:paraId="26F2BC07" w14:textId="77777777" w:rsidR="003E58FF" w:rsidRDefault="003E58FF" w:rsidP="009B2324">
      <w:pPr>
        <w:ind w:left="-720"/>
        <w:rPr>
          <w:rFonts w:cs="Arial"/>
          <w:b/>
          <w:sz w:val="24"/>
          <w:szCs w:val="24"/>
        </w:rPr>
      </w:pPr>
    </w:p>
    <w:p w14:paraId="49241C5A" w14:textId="77777777" w:rsidR="00DB7A87" w:rsidRDefault="00DB7A87" w:rsidP="009B2324">
      <w:pPr>
        <w:ind w:left="-720"/>
        <w:rPr>
          <w:rFonts w:cs="Arial"/>
          <w:b/>
          <w:sz w:val="24"/>
          <w:szCs w:val="24"/>
        </w:rPr>
      </w:pPr>
    </w:p>
    <w:p w14:paraId="0960914D" w14:textId="77777777" w:rsidR="00DB7A87" w:rsidRDefault="00DB7A87" w:rsidP="009B2324">
      <w:pPr>
        <w:ind w:left="-720"/>
        <w:rPr>
          <w:rFonts w:cs="Arial"/>
          <w:b/>
          <w:sz w:val="24"/>
          <w:szCs w:val="24"/>
        </w:rPr>
      </w:pPr>
    </w:p>
    <w:p w14:paraId="58B2D9F7" w14:textId="77777777" w:rsidR="00AB65CD" w:rsidRDefault="00B45423" w:rsidP="006141B3">
      <w:pPr>
        <w:ind w:left="-720"/>
        <w:jc w:val="both"/>
        <w:rPr>
          <w:rFonts w:cs="Arial"/>
          <w:b/>
          <w:sz w:val="24"/>
          <w:szCs w:val="24"/>
        </w:rPr>
      </w:pPr>
      <w:r>
        <w:rPr>
          <w:rFonts w:cs="Arial"/>
          <w:b/>
          <w:sz w:val="24"/>
          <w:szCs w:val="24"/>
        </w:rPr>
        <w:t>3</w:t>
      </w:r>
      <w:r w:rsidR="006141B3" w:rsidRPr="00A94F84">
        <w:rPr>
          <w:rFonts w:cs="Arial"/>
          <w:b/>
          <w:sz w:val="24"/>
          <w:szCs w:val="24"/>
        </w:rPr>
        <w:t xml:space="preserve">. </w:t>
      </w:r>
      <w:r w:rsidR="006141B3">
        <w:rPr>
          <w:rFonts w:cs="Arial"/>
          <w:b/>
          <w:sz w:val="24"/>
          <w:szCs w:val="24"/>
        </w:rPr>
        <w:t>Financial</w:t>
      </w:r>
      <w:r w:rsidR="00AB65CD">
        <w:rPr>
          <w:rFonts w:cs="Arial"/>
          <w:b/>
          <w:sz w:val="24"/>
          <w:szCs w:val="24"/>
        </w:rPr>
        <w:t xml:space="preserve"> Analysis </w:t>
      </w:r>
    </w:p>
    <w:p w14:paraId="6060ABE6" w14:textId="77777777" w:rsidR="00EF6AA0" w:rsidRDefault="00EF6AA0" w:rsidP="006141B3">
      <w:pPr>
        <w:ind w:left="-720"/>
        <w:jc w:val="both"/>
        <w:rPr>
          <w:rFonts w:cs="Arial"/>
          <w:b/>
          <w:sz w:val="24"/>
          <w:szCs w:val="24"/>
        </w:rPr>
      </w:pPr>
    </w:p>
    <w:tbl>
      <w:tblPr>
        <w:tblW w:w="10065" w:type="dxa"/>
        <w:tblInd w:w="-31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134"/>
        <w:gridCol w:w="1135"/>
        <w:gridCol w:w="2126"/>
        <w:gridCol w:w="2127"/>
        <w:gridCol w:w="1891"/>
        <w:gridCol w:w="1652"/>
      </w:tblGrid>
      <w:tr w:rsidR="00AB65CD" w:rsidRPr="005777CC" w14:paraId="2460E668" w14:textId="77777777" w:rsidTr="00EF6AA0">
        <w:trPr>
          <w:trHeight w:val="397"/>
        </w:trPr>
        <w:tc>
          <w:tcPr>
            <w:tcW w:w="1134" w:type="dxa"/>
            <w:shd w:val="clear" w:color="auto" w:fill="CCC0D9"/>
          </w:tcPr>
          <w:p w14:paraId="77AF8838" w14:textId="77777777" w:rsidR="00AB65CD" w:rsidRDefault="00AB65CD" w:rsidP="00FB28A5">
            <w:pPr>
              <w:rPr>
                <w:rFonts w:cs="Arial"/>
                <w:b/>
                <w:bCs/>
              </w:rPr>
            </w:pPr>
          </w:p>
        </w:tc>
        <w:tc>
          <w:tcPr>
            <w:tcW w:w="8931" w:type="dxa"/>
            <w:gridSpan w:val="5"/>
            <w:shd w:val="clear" w:color="auto" w:fill="CCC0D9"/>
            <w:vAlign w:val="center"/>
          </w:tcPr>
          <w:p w14:paraId="2409BB3D" w14:textId="77777777" w:rsidR="00AB65CD" w:rsidRPr="0039076F" w:rsidRDefault="00AB65CD" w:rsidP="00FB28A5">
            <w:pPr>
              <w:rPr>
                <w:rFonts w:cs="Arial"/>
                <w:b/>
                <w:bCs/>
              </w:rPr>
            </w:pPr>
            <w:r>
              <w:rPr>
                <w:rFonts w:cs="Arial"/>
                <w:b/>
                <w:bCs/>
              </w:rPr>
              <w:t>Enabling investment required</w:t>
            </w:r>
          </w:p>
        </w:tc>
      </w:tr>
      <w:tr w:rsidR="00EF6AA0" w:rsidRPr="00D05D41" w14:paraId="4BBAFF86" w14:textId="77777777" w:rsidTr="00EF6AA0">
        <w:tc>
          <w:tcPr>
            <w:tcW w:w="2269" w:type="dxa"/>
            <w:gridSpan w:val="2"/>
            <w:tcBorders>
              <w:right w:val="single" w:sz="4" w:space="0" w:color="auto"/>
            </w:tcBorders>
            <w:shd w:val="clear" w:color="auto" w:fill="E5DFEC"/>
            <w:vAlign w:val="center"/>
          </w:tcPr>
          <w:p w14:paraId="3473F60E" w14:textId="77777777" w:rsidR="00EF6AA0" w:rsidRPr="00620EA0" w:rsidRDefault="00EF6AA0" w:rsidP="00FB28A5">
            <w:pPr>
              <w:jc w:val="center"/>
              <w:rPr>
                <w:rFonts w:cs="Arial"/>
                <w:b/>
                <w:bCs/>
              </w:rPr>
            </w:pPr>
            <w:r>
              <w:rPr>
                <w:rFonts w:cs="Arial"/>
                <w:b/>
                <w:bCs/>
              </w:rPr>
              <w:t xml:space="preserve">Pay / Non-Pay </w:t>
            </w:r>
          </w:p>
        </w:tc>
        <w:tc>
          <w:tcPr>
            <w:tcW w:w="2126" w:type="dxa"/>
            <w:tcBorders>
              <w:left w:val="single" w:sz="4" w:space="0" w:color="auto"/>
              <w:right w:val="single" w:sz="4" w:space="0" w:color="auto"/>
            </w:tcBorders>
            <w:shd w:val="clear" w:color="auto" w:fill="E5DFEC"/>
            <w:vAlign w:val="center"/>
          </w:tcPr>
          <w:p w14:paraId="5FB33B7E" w14:textId="77777777" w:rsidR="00EF6AA0" w:rsidRPr="00620EA0" w:rsidRDefault="00EF6AA0" w:rsidP="00FB28A5">
            <w:pPr>
              <w:jc w:val="center"/>
              <w:rPr>
                <w:rFonts w:cs="Arial"/>
                <w:b/>
                <w:bCs/>
              </w:rPr>
            </w:pPr>
            <w:r w:rsidRPr="00620EA0">
              <w:rPr>
                <w:rFonts w:cs="Arial"/>
                <w:b/>
                <w:bCs/>
              </w:rPr>
              <w:t>Recurring / Non-Recurring</w:t>
            </w:r>
          </w:p>
        </w:tc>
        <w:tc>
          <w:tcPr>
            <w:tcW w:w="2127" w:type="dxa"/>
            <w:tcBorders>
              <w:left w:val="single" w:sz="4" w:space="0" w:color="auto"/>
            </w:tcBorders>
            <w:shd w:val="clear" w:color="auto" w:fill="E5DFEC"/>
            <w:vAlign w:val="center"/>
          </w:tcPr>
          <w:p w14:paraId="79FE4AC1" w14:textId="77777777" w:rsidR="00EF6AA0" w:rsidRPr="00620EA0" w:rsidRDefault="00EF6AA0" w:rsidP="00FB28A5">
            <w:pPr>
              <w:jc w:val="center"/>
              <w:rPr>
                <w:rFonts w:cs="Arial"/>
                <w:b/>
                <w:bCs/>
              </w:rPr>
            </w:pPr>
            <w:r w:rsidRPr="00620EA0">
              <w:rPr>
                <w:rFonts w:cs="Arial"/>
                <w:b/>
                <w:bCs/>
              </w:rPr>
              <w:t>Budget Code (if known)</w:t>
            </w:r>
          </w:p>
        </w:tc>
        <w:tc>
          <w:tcPr>
            <w:tcW w:w="1891" w:type="dxa"/>
            <w:shd w:val="clear" w:color="auto" w:fill="E5DFEC"/>
            <w:vAlign w:val="center"/>
          </w:tcPr>
          <w:p w14:paraId="2B86C33A" w14:textId="77777777" w:rsidR="00EF6AA0" w:rsidRPr="00620EA0" w:rsidRDefault="005F42D7" w:rsidP="00F7177F">
            <w:pPr>
              <w:jc w:val="center"/>
              <w:rPr>
                <w:rFonts w:cs="Arial"/>
                <w:b/>
                <w:bCs/>
              </w:rPr>
            </w:pPr>
            <w:r>
              <w:rPr>
                <w:rFonts w:cs="Arial"/>
                <w:b/>
                <w:bCs/>
              </w:rPr>
              <w:t xml:space="preserve">Cost </w:t>
            </w:r>
          </w:p>
        </w:tc>
        <w:tc>
          <w:tcPr>
            <w:tcW w:w="1652" w:type="dxa"/>
            <w:shd w:val="clear" w:color="auto" w:fill="E5DFEC"/>
            <w:vAlign w:val="center"/>
          </w:tcPr>
          <w:p w14:paraId="6BFC5E4F" w14:textId="77777777" w:rsidR="00EF6AA0" w:rsidRDefault="005F42D7" w:rsidP="00FB28A5">
            <w:pPr>
              <w:jc w:val="center"/>
              <w:rPr>
                <w:rFonts w:cs="Arial"/>
                <w:b/>
                <w:bCs/>
              </w:rPr>
            </w:pPr>
            <w:r>
              <w:rPr>
                <w:rFonts w:cs="Arial"/>
                <w:b/>
                <w:bCs/>
              </w:rPr>
              <w:t>Cost 202</w:t>
            </w:r>
            <w:r w:rsidR="00DB7A87">
              <w:rPr>
                <w:rFonts w:cs="Arial"/>
                <w:b/>
                <w:bCs/>
              </w:rPr>
              <w:t>3</w:t>
            </w:r>
          </w:p>
        </w:tc>
      </w:tr>
      <w:tr w:rsidR="00EF6AA0" w:rsidRPr="00D05D41" w14:paraId="57093297" w14:textId="77777777" w:rsidTr="00EF6AA0">
        <w:trPr>
          <w:trHeight w:val="624"/>
        </w:trPr>
        <w:tc>
          <w:tcPr>
            <w:tcW w:w="2269" w:type="dxa"/>
            <w:gridSpan w:val="2"/>
            <w:tcBorders>
              <w:right w:val="single" w:sz="4" w:space="0" w:color="auto"/>
            </w:tcBorders>
            <w:vAlign w:val="center"/>
          </w:tcPr>
          <w:p w14:paraId="5FE99736" w14:textId="77777777" w:rsidR="00B93021" w:rsidRDefault="00B93021" w:rsidP="00B93021">
            <w:pPr>
              <w:rPr>
                <w:rFonts w:cs="Arial"/>
                <w:bCs/>
              </w:rPr>
            </w:pPr>
          </w:p>
          <w:p w14:paraId="1F5AE329" w14:textId="77777777" w:rsidR="00EF6AA0" w:rsidRDefault="00F071DD" w:rsidP="00B93021">
            <w:pPr>
              <w:rPr>
                <w:rFonts w:cs="Arial"/>
                <w:bCs/>
              </w:rPr>
            </w:pPr>
            <w:r>
              <w:rPr>
                <w:rFonts w:cs="Arial"/>
                <w:bCs/>
              </w:rPr>
              <w:t xml:space="preserve">FIB 4 </w:t>
            </w:r>
            <w:r w:rsidR="00B93021">
              <w:rPr>
                <w:rFonts w:cs="Arial"/>
                <w:bCs/>
              </w:rPr>
              <w:t>Software licence</w:t>
            </w:r>
          </w:p>
          <w:p w14:paraId="7CC96EFD" w14:textId="77777777" w:rsidR="004546F5" w:rsidRDefault="004546F5" w:rsidP="00B93021">
            <w:pPr>
              <w:rPr>
                <w:rFonts w:cs="Arial"/>
                <w:bCs/>
              </w:rPr>
            </w:pPr>
          </w:p>
          <w:p w14:paraId="56B3CA9B" w14:textId="77777777" w:rsidR="004546F5" w:rsidRDefault="00F071DD" w:rsidP="00B93021">
            <w:pPr>
              <w:rPr>
                <w:rFonts w:cs="Arial"/>
                <w:bCs/>
              </w:rPr>
            </w:pPr>
            <w:r>
              <w:rPr>
                <w:rFonts w:cs="Arial"/>
                <w:bCs/>
              </w:rPr>
              <w:t xml:space="preserve">Dietician </w:t>
            </w:r>
            <w:r w:rsidR="004546F5">
              <w:rPr>
                <w:rFonts w:cs="Arial"/>
                <w:bCs/>
              </w:rPr>
              <w:t>Pay</w:t>
            </w:r>
          </w:p>
          <w:p w14:paraId="4A708F53" w14:textId="77777777" w:rsidR="005F42D7" w:rsidRDefault="005F42D7" w:rsidP="00B93021">
            <w:pPr>
              <w:rPr>
                <w:rFonts w:cs="Arial"/>
                <w:bCs/>
              </w:rPr>
            </w:pPr>
          </w:p>
          <w:p w14:paraId="5B373606" w14:textId="77777777" w:rsidR="005F42D7" w:rsidRDefault="005F42D7" w:rsidP="00B93021">
            <w:pPr>
              <w:rPr>
                <w:rFonts w:cs="Arial"/>
                <w:bCs/>
              </w:rPr>
            </w:pPr>
            <w:proofErr w:type="spellStart"/>
            <w:r>
              <w:rPr>
                <w:rFonts w:cs="Arial"/>
                <w:bCs/>
              </w:rPr>
              <w:t>Fibroscanner</w:t>
            </w:r>
            <w:proofErr w:type="spellEnd"/>
          </w:p>
          <w:p w14:paraId="702059F8" w14:textId="77777777" w:rsidR="005F42D7" w:rsidRDefault="005F42D7" w:rsidP="00B93021">
            <w:pPr>
              <w:rPr>
                <w:rFonts w:cs="Arial"/>
                <w:bCs/>
              </w:rPr>
            </w:pPr>
            <w:r>
              <w:rPr>
                <w:rFonts w:cs="Arial"/>
                <w:bCs/>
              </w:rPr>
              <w:t>Maintenance contract</w:t>
            </w:r>
          </w:p>
          <w:p w14:paraId="24287E79" w14:textId="77777777" w:rsidR="005F42D7" w:rsidRDefault="005F42D7" w:rsidP="00B93021">
            <w:pPr>
              <w:rPr>
                <w:rFonts w:cs="Arial"/>
                <w:bCs/>
              </w:rPr>
            </w:pPr>
          </w:p>
          <w:p w14:paraId="4088B9B4" w14:textId="77777777" w:rsidR="005F42D7" w:rsidRPr="0039076F" w:rsidRDefault="005F42D7" w:rsidP="00B93021">
            <w:pPr>
              <w:rPr>
                <w:rFonts w:cs="Arial"/>
                <w:bCs/>
              </w:rPr>
            </w:pPr>
            <w:r>
              <w:rPr>
                <w:rFonts w:cs="Arial"/>
                <w:bCs/>
              </w:rPr>
              <w:t xml:space="preserve">Dietetic </w:t>
            </w:r>
            <w:proofErr w:type="spellStart"/>
            <w:r>
              <w:rPr>
                <w:rFonts w:cs="Arial"/>
                <w:bCs/>
              </w:rPr>
              <w:t>equiptment</w:t>
            </w:r>
            <w:proofErr w:type="spellEnd"/>
          </w:p>
        </w:tc>
        <w:tc>
          <w:tcPr>
            <w:tcW w:w="2126" w:type="dxa"/>
            <w:tcBorders>
              <w:left w:val="single" w:sz="4" w:space="0" w:color="auto"/>
              <w:right w:val="single" w:sz="4" w:space="0" w:color="auto"/>
            </w:tcBorders>
            <w:vAlign w:val="center"/>
          </w:tcPr>
          <w:p w14:paraId="58490EBF" w14:textId="77777777" w:rsidR="00B93021" w:rsidRDefault="00B93021" w:rsidP="00FB28A5">
            <w:pPr>
              <w:rPr>
                <w:rFonts w:cs="Arial"/>
                <w:bCs/>
              </w:rPr>
            </w:pPr>
          </w:p>
          <w:p w14:paraId="05C7A5DC" w14:textId="77777777" w:rsidR="00EF6AA0" w:rsidRDefault="00B93021" w:rsidP="00FB28A5">
            <w:pPr>
              <w:rPr>
                <w:rFonts w:cs="Arial"/>
                <w:bCs/>
              </w:rPr>
            </w:pPr>
            <w:r>
              <w:rPr>
                <w:rFonts w:cs="Arial"/>
                <w:bCs/>
              </w:rPr>
              <w:t>Non-recurring</w:t>
            </w:r>
          </w:p>
          <w:p w14:paraId="57328EAF" w14:textId="77777777" w:rsidR="004546F5" w:rsidRDefault="004546F5" w:rsidP="00FB28A5">
            <w:pPr>
              <w:rPr>
                <w:rFonts w:cs="Arial"/>
                <w:bCs/>
              </w:rPr>
            </w:pPr>
          </w:p>
          <w:p w14:paraId="4998BE65" w14:textId="77777777" w:rsidR="004546F5" w:rsidRDefault="004546F5" w:rsidP="00FB28A5">
            <w:pPr>
              <w:rPr>
                <w:rFonts w:cs="Arial"/>
                <w:bCs/>
              </w:rPr>
            </w:pPr>
          </w:p>
          <w:p w14:paraId="03CCF4F9" w14:textId="77777777" w:rsidR="004546F5" w:rsidRDefault="004546F5" w:rsidP="00FB28A5">
            <w:pPr>
              <w:rPr>
                <w:rFonts w:cs="Arial"/>
                <w:bCs/>
              </w:rPr>
            </w:pPr>
            <w:r>
              <w:rPr>
                <w:rFonts w:cs="Arial"/>
                <w:bCs/>
              </w:rPr>
              <w:t>Recurring</w:t>
            </w:r>
          </w:p>
          <w:p w14:paraId="68DEA47C" w14:textId="77777777" w:rsidR="005F42D7" w:rsidRDefault="005F42D7" w:rsidP="00FB28A5">
            <w:pPr>
              <w:rPr>
                <w:rFonts w:cs="Arial"/>
                <w:bCs/>
              </w:rPr>
            </w:pPr>
          </w:p>
          <w:p w14:paraId="40591372" w14:textId="77777777" w:rsidR="005F42D7" w:rsidRDefault="005F42D7" w:rsidP="00FB28A5">
            <w:pPr>
              <w:rPr>
                <w:rFonts w:cs="Arial"/>
                <w:bCs/>
              </w:rPr>
            </w:pPr>
            <w:r>
              <w:rPr>
                <w:rFonts w:cs="Arial"/>
                <w:bCs/>
              </w:rPr>
              <w:t>Non-recurring</w:t>
            </w:r>
          </w:p>
          <w:p w14:paraId="344BD38F" w14:textId="77777777" w:rsidR="005F42D7" w:rsidRDefault="005F42D7" w:rsidP="00FB28A5">
            <w:pPr>
              <w:rPr>
                <w:rFonts w:cs="Arial"/>
                <w:bCs/>
              </w:rPr>
            </w:pPr>
            <w:r>
              <w:rPr>
                <w:rFonts w:cs="Arial"/>
                <w:bCs/>
              </w:rPr>
              <w:t>Recurring</w:t>
            </w:r>
          </w:p>
          <w:p w14:paraId="5BFFD1F1" w14:textId="77777777" w:rsidR="005F42D7" w:rsidRDefault="005F42D7" w:rsidP="00FB28A5">
            <w:pPr>
              <w:rPr>
                <w:rFonts w:cs="Arial"/>
                <w:bCs/>
              </w:rPr>
            </w:pPr>
          </w:p>
          <w:p w14:paraId="0025DED9" w14:textId="77777777" w:rsidR="005F42D7" w:rsidRPr="0039076F" w:rsidRDefault="005F42D7" w:rsidP="00FB28A5">
            <w:pPr>
              <w:rPr>
                <w:rFonts w:cs="Arial"/>
                <w:bCs/>
              </w:rPr>
            </w:pPr>
            <w:proofErr w:type="gramStart"/>
            <w:r>
              <w:rPr>
                <w:rFonts w:cs="Arial"/>
                <w:bCs/>
              </w:rPr>
              <w:t>Non recurring</w:t>
            </w:r>
            <w:proofErr w:type="gramEnd"/>
            <w:r>
              <w:rPr>
                <w:rFonts w:cs="Arial"/>
                <w:bCs/>
              </w:rPr>
              <w:t xml:space="preserve"> (OP and ward based)</w:t>
            </w:r>
          </w:p>
        </w:tc>
        <w:tc>
          <w:tcPr>
            <w:tcW w:w="2127" w:type="dxa"/>
            <w:tcBorders>
              <w:left w:val="single" w:sz="4" w:space="0" w:color="auto"/>
            </w:tcBorders>
            <w:vAlign w:val="center"/>
          </w:tcPr>
          <w:p w14:paraId="47E2EB92" w14:textId="77777777" w:rsidR="00EF6AA0" w:rsidRPr="0039076F" w:rsidRDefault="00EF6AA0" w:rsidP="00FB28A5">
            <w:pPr>
              <w:rPr>
                <w:rFonts w:cs="Arial"/>
                <w:bCs/>
              </w:rPr>
            </w:pPr>
          </w:p>
        </w:tc>
        <w:tc>
          <w:tcPr>
            <w:tcW w:w="1891" w:type="dxa"/>
            <w:vAlign w:val="center"/>
          </w:tcPr>
          <w:p w14:paraId="6774177B" w14:textId="77777777" w:rsidR="004546F5" w:rsidRDefault="00F071DD" w:rsidP="007D4F38">
            <w:pPr>
              <w:rPr>
                <w:rFonts w:cs="Arial"/>
                <w:bCs/>
              </w:rPr>
            </w:pPr>
            <w:r>
              <w:rPr>
                <w:rFonts w:cs="Arial"/>
                <w:bCs/>
              </w:rPr>
              <w:t>£1000</w:t>
            </w:r>
          </w:p>
          <w:p w14:paraId="6BB5B0EF" w14:textId="77777777" w:rsidR="004546F5" w:rsidRDefault="004546F5" w:rsidP="007D4F38">
            <w:pPr>
              <w:rPr>
                <w:rFonts w:cs="Arial"/>
                <w:bCs/>
              </w:rPr>
            </w:pPr>
          </w:p>
          <w:p w14:paraId="3451A634" w14:textId="77777777" w:rsidR="004546F5" w:rsidRDefault="004546F5" w:rsidP="007D4F38">
            <w:pPr>
              <w:rPr>
                <w:rFonts w:cs="Arial"/>
                <w:bCs/>
              </w:rPr>
            </w:pPr>
          </w:p>
          <w:p w14:paraId="3B61E997" w14:textId="77777777" w:rsidR="00F071DD" w:rsidRDefault="00F071DD" w:rsidP="007D4F38">
            <w:pPr>
              <w:rPr>
                <w:rFonts w:cs="Arial"/>
                <w:bCs/>
              </w:rPr>
            </w:pPr>
            <w:r>
              <w:rPr>
                <w:rFonts w:cs="Arial"/>
                <w:bCs/>
              </w:rPr>
              <w:t>£</w:t>
            </w:r>
            <w:r w:rsidR="005F42D7">
              <w:rPr>
                <w:rFonts w:cs="Arial"/>
                <w:bCs/>
              </w:rPr>
              <w:t>52624</w:t>
            </w:r>
          </w:p>
          <w:p w14:paraId="364B1162" w14:textId="77777777" w:rsidR="005F42D7" w:rsidRDefault="005F42D7" w:rsidP="007D4F38">
            <w:pPr>
              <w:rPr>
                <w:rFonts w:cs="Arial"/>
                <w:bCs/>
              </w:rPr>
            </w:pPr>
          </w:p>
          <w:p w14:paraId="78E6BA09" w14:textId="77777777" w:rsidR="005F42D7" w:rsidRDefault="005F42D7" w:rsidP="007D4F38">
            <w:pPr>
              <w:rPr>
                <w:rFonts w:cs="Arial"/>
                <w:bCs/>
              </w:rPr>
            </w:pPr>
            <w:r>
              <w:rPr>
                <w:rFonts w:cs="Arial"/>
                <w:bCs/>
              </w:rPr>
              <w:t>£54000</w:t>
            </w:r>
          </w:p>
          <w:p w14:paraId="467BD884" w14:textId="77777777" w:rsidR="005F42D7" w:rsidRDefault="005F42D7" w:rsidP="007D4F38">
            <w:pPr>
              <w:rPr>
                <w:rFonts w:cs="Arial"/>
                <w:bCs/>
              </w:rPr>
            </w:pPr>
            <w:r>
              <w:rPr>
                <w:rFonts w:cs="Arial"/>
                <w:bCs/>
              </w:rPr>
              <w:t>£4000</w:t>
            </w:r>
          </w:p>
          <w:p w14:paraId="182E1380" w14:textId="77777777" w:rsidR="005F42D7" w:rsidRDefault="005F42D7" w:rsidP="007D4F38">
            <w:pPr>
              <w:rPr>
                <w:rFonts w:cs="Arial"/>
                <w:bCs/>
              </w:rPr>
            </w:pPr>
          </w:p>
          <w:p w14:paraId="3AAEDD48" w14:textId="77777777" w:rsidR="005F42D7" w:rsidRPr="0039076F" w:rsidRDefault="005F42D7" w:rsidP="007D4F38">
            <w:pPr>
              <w:rPr>
                <w:rFonts w:cs="Arial"/>
                <w:bCs/>
              </w:rPr>
            </w:pPr>
            <w:r>
              <w:rPr>
                <w:rFonts w:cs="Arial"/>
                <w:bCs/>
              </w:rPr>
              <w:t>£750</w:t>
            </w:r>
          </w:p>
        </w:tc>
        <w:tc>
          <w:tcPr>
            <w:tcW w:w="1652" w:type="dxa"/>
          </w:tcPr>
          <w:p w14:paraId="616BED71" w14:textId="77777777" w:rsidR="004546F5" w:rsidRDefault="004546F5" w:rsidP="00FB28A5">
            <w:pPr>
              <w:rPr>
                <w:rFonts w:cs="Arial"/>
                <w:bCs/>
              </w:rPr>
            </w:pPr>
          </w:p>
          <w:p w14:paraId="04810389" w14:textId="77777777" w:rsidR="004546F5" w:rsidRDefault="004546F5" w:rsidP="00FB28A5">
            <w:pPr>
              <w:rPr>
                <w:rFonts w:cs="Arial"/>
                <w:bCs/>
              </w:rPr>
            </w:pPr>
          </w:p>
          <w:p w14:paraId="64715F6E" w14:textId="77777777" w:rsidR="004546F5" w:rsidRDefault="004546F5" w:rsidP="00FB28A5">
            <w:pPr>
              <w:rPr>
                <w:rFonts w:cs="Arial"/>
                <w:bCs/>
              </w:rPr>
            </w:pPr>
          </w:p>
          <w:p w14:paraId="6C66F5CB" w14:textId="77777777" w:rsidR="004546F5" w:rsidRDefault="004546F5" w:rsidP="00FB28A5">
            <w:pPr>
              <w:rPr>
                <w:rFonts w:cs="Arial"/>
                <w:bCs/>
              </w:rPr>
            </w:pPr>
          </w:p>
          <w:p w14:paraId="44F07018" w14:textId="77777777" w:rsidR="00EF6AA0" w:rsidRPr="0039076F" w:rsidRDefault="004546F5" w:rsidP="00FB28A5">
            <w:pPr>
              <w:rPr>
                <w:rFonts w:cs="Arial"/>
                <w:bCs/>
              </w:rPr>
            </w:pPr>
            <w:r>
              <w:rPr>
                <w:rFonts w:cs="Arial"/>
                <w:bCs/>
              </w:rPr>
              <w:t>TBC</w:t>
            </w:r>
          </w:p>
        </w:tc>
      </w:tr>
    </w:tbl>
    <w:p w14:paraId="16E6BDF3" w14:textId="77777777" w:rsidR="00AB65CD" w:rsidRDefault="00AB65CD" w:rsidP="006141B3">
      <w:pPr>
        <w:ind w:left="-720"/>
        <w:jc w:val="both"/>
        <w:rPr>
          <w:rFonts w:cs="Arial"/>
        </w:rPr>
      </w:pPr>
    </w:p>
    <w:p w14:paraId="2D11C6C1" w14:textId="77777777" w:rsidR="00C41E14" w:rsidRDefault="00F30B09" w:rsidP="00F30B09">
      <w:pPr>
        <w:rPr>
          <w:rFonts w:cs="Arial"/>
          <w:b/>
          <w:sz w:val="28"/>
        </w:rPr>
      </w:pPr>
      <w:r>
        <w:rPr>
          <w:rFonts w:cs="Arial"/>
          <w:b/>
          <w:sz w:val="28"/>
        </w:rPr>
        <w:t xml:space="preserve"> </w:t>
      </w:r>
    </w:p>
    <w:sectPr w:rsidR="00C41E14" w:rsidSect="00C41E14">
      <w:headerReference w:type="default" r:id="rId11"/>
      <w:footerReference w:type="default" r:id="rId12"/>
      <w:headerReference w:type="first" r:id="rId13"/>
      <w:footerReference w:type="first" r:id="rId14"/>
      <w:pgSz w:w="11906" w:h="16838" w:code="9"/>
      <w:pgMar w:top="1135" w:right="1418" w:bottom="454" w:left="993" w:header="72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F737" w14:textId="77777777" w:rsidR="00231629" w:rsidRDefault="00231629" w:rsidP="006D4419">
      <w:pPr>
        <w:pStyle w:val="Header"/>
      </w:pPr>
      <w:r>
        <w:separator/>
      </w:r>
    </w:p>
  </w:endnote>
  <w:endnote w:type="continuationSeparator" w:id="0">
    <w:p w14:paraId="22D49B43" w14:textId="77777777" w:rsidR="00231629" w:rsidRDefault="00231629" w:rsidP="006D441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8870" w14:textId="77777777" w:rsidR="0037628C" w:rsidRDefault="00E548B1" w:rsidP="00F1450E">
    <w:pPr>
      <w:pBdr>
        <w:top w:val="single" w:sz="4" w:space="1" w:color="auto"/>
      </w:pBdr>
      <w:rPr>
        <w:sz w:val="18"/>
        <w:szCs w:val="18"/>
      </w:rPr>
    </w:pPr>
    <w:r>
      <w:rPr>
        <w:sz w:val="18"/>
        <w:szCs w:val="18"/>
      </w:rPr>
      <w:t xml:space="preserve">Business Case Template </w:t>
    </w:r>
    <w:r w:rsidR="00912A8C">
      <w:rPr>
        <w:sz w:val="18"/>
        <w:szCs w:val="18"/>
      </w:rPr>
      <w:t>– short version</w:t>
    </w:r>
    <w:r w:rsidR="00DB7A87">
      <w:rPr>
        <w:sz w:val="18"/>
        <w:szCs w:val="18"/>
      </w:rPr>
      <w:tab/>
    </w:r>
    <w:r w:rsidR="00DB7A87">
      <w:rPr>
        <w:sz w:val="18"/>
        <w:szCs w:val="18"/>
      </w:rPr>
      <w:tab/>
    </w:r>
    <w:r w:rsidR="00DB7A87">
      <w:rPr>
        <w:sz w:val="18"/>
        <w:szCs w:val="18"/>
      </w:rPr>
      <w:tab/>
    </w:r>
    <w:r w:rsidR="00DB7A87">
      <w:rPr>
        <w:sz w:val="18"/>
        <w:szCs w:val="18"/>
      </w:rPr>
      <w:tab/>
    </w:r>
    <w:r w:rsidR="00DB7A87">
      <w:rPr>
        <w:sz w:val="18"/>
        <w:szCs w:val="18"/>
      </w:rPr>
      <w:tab/>
    </w:r>
    <w:r w:rsidR="002B7012">
      <w:rPr>
        <w:sz w:val="18"/>
        <w:szCs w:val="18"/>
      </w:rPr>
      <w:tab/>
    </w:r>
    <w:r w:rsidR="002B7012">
      <w:rPr>
        <w:sz w:val="18"/>
        <w:szCs w:val="18"/>
      </w:rPr>
      <w:tab/>
    </w:r>
    <w:r w:rsidR="002B7012">
      <w:rPr>
        <w:sz w:val="18"/>
        <w:szCs w:val="18"/>
      </w:rPr>
      <w:tab/>
    </w:r>
    <w:r w:rsidR="002B7012">
      <w:rPr>
        <w:sz w:val="18"/>
        <w:szCs w:val="18"/>
      </w:rPr>
      <w:tab/>
    </w:r>
    <w:r w:rsidR="002B7012">
      <w:rPr>
        <w:sz w:val="18"/>
        <w:szCs w:val="18"/>
      </w:rPr>
      <w:tab/>
    </w:r>
    <w:r w:rsidR="002B7012">
      <w:rPr>
        <w:sz w:val="18"/>
        <w:szCs w:val="18"/>
      </w:rPr>
      <w:tab/>
    </w:r>
    <w:r w:rsidR="002B7012">
      <w:rPr>
        <w:sz w:val="18"/>
        <w:szCs w:val="18"/>
      </w:rPr>
      <w:tab/>
    </w:r>
    <w:r w:rsidR="00157F79">
      <w:rPr>
        <w:sz w:val="18"/>
        <w:szCs w:val="18"/>
      </w:rPr>
      <w:tab/>
    </w:r>
    <w:r w:rsidR="00157F79">
      <w:rPr>
        <w:sz w:val="18"/>
        <w:szCs w:val="18"/>
      </w:rPr>
      <w:tab/>
    </w:r>
    <w:r w:rsidR="002B7012" w:rsidRPr="002B7012">
      <w:rPr>
        <w:sz w:val="18"/>
        <w:szCs w:val="18"/>
      </w:rPr>
      <w:t xml:space="preserve">Page </w:t>
    </w:r>
    <w:r w:rsidR="002B7012" w:rsidRPr="002B7012">
      <w:rPr>
        <w:b/>
        <w:sz w:val="18"/>
        <w:szCs w:val="18"/>
      </w:rPr>
      <w:fldChar w:fldCharType="begin"/>
    </w:r>
    <w:r w:rsidR="002B7012" w:rsidRPr="002B7012">
      <w:rPr>
        <w:b/>
        <w:sz w:val="18"/>
        <w:szCs w:val="18"/>
      </w:rPr>
      <w:instrText xml:space="preserve"> PAGE  \* Arabic  \* MERGEFORMAT </w:instrText>
    </w:r>
    <w:r w:rsidR="002B7012" w:rsidRPr="002B7012">
      <w:rPr>
        <w:b/>
        <w:sz w:val="18"/>
        <w:szCs w:val="18"/>
      </w:rPr>
      <w:fldChar w:fldCharType="separate"/>
    </w:r>
    <w:r w:rsidR="00B43442">
      <w:rPr>
        <w:b/>
        <w:noProof/>
        <w:sz w:val="18"/>
        <w:szCs w:val="18"/>
      </w:rPr>
      <w:t>1</w:t>
    </w:r>
    <w:r w:rsidR="002B7012" w:rsidRPr="002B7012">
      <w:rPr>
        <w:b/>
        <w:sz w:val="18"/>
        <w:szCs w:val="18"/>
      </w:rPr>
      <w:fldChar w:fldCharType="end"/>
    </w:r>
    <w:r w:rsidR="002B7012" w:rsidRPr="002B7012">
      <w:rPr>
        <w:sz w:val="18"/>
        <w:szCs w:val="18"/>
      </w:rPr>
      <w:t xml:space="preserve"> of </w:t>
    </w:r>
    <w:r w:rsidR="002B7012" w:rsidRPr="002B7012">
      <w:rPr>
        <w:b/>
        <w:sz w:val="18"/>
        <w:szCs w:val="18"/>
      </w:rPr>
      <w:fldChar w:fldCharType="begin"/>
    </w:r>
    <w:r w:rsidR="002B7012" w:rsidRPr="002B7012">
      <w:rPr>
        <w:b/>
        <w:sz w:val="18"/>
        <w:szCs w:val="18"/>
      </w:rPr>
      <w:instrText xml:space="preserve"> NUMPAGES  \* Arabic  \* MERGEFORMAT </w:instrText>
    </w:r>
    <w:r w:rsidR="002B7012" w:rsidRPr="002B7012">
      <w:rPr>
        <w:b/>
        <w:sz w:val="18"/>
        <w:szCs w:val="18"/>
      </w:rPr>
      <w:fldChar w:fldCharType="separate"/>
    </w:r>
    <w:r w:rsidR="00B43442">
      <w:rPr>
        <w:b/>
        <w:noProof/>
        <w:sz w:val="18"/>
        <w:szCs w:val="18"/>
      </w:rPr>
      <w:t>5</w:t>
    </w:r>
    <w:r w:rsidR="002B7012" w:rsidRPr="002B7012">
      <w:rPr>
        <w:b/>
        <w:sz w:val="18"/>
        <w:szCs w:val="18"/>
      </w:rPr>
      <w:fldChar w:fldCharType="end"/>
    </w:r>
  </w:p>
  <w:p w14:paraId="25C1D5DB" w14:textId="77777777" w:rsidR="0039076F" w:rsidRPr="00F1450E" w:rsidRDefault="0039076F" w:rsidP="00F1450E">
    <w:pPr>
      <w:pBdr>
        <w:top w:val="single" w:sz="4" w:space="1" w:color="auto"/>
      </w:pBdr>
      <w:rPr>
        <w:i/>
        <w:sz w:val="18"/>
        <w:szCs w:val="18"/>
      </w:rPr>
    </w:pPr>
    <w:r w:rsidRPr="008C1A6B">
      <w:rPr>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002E7657">
      <w:rPr>
        <w: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CB83" w14:textId="77777777" w:rsidR="0039076F" w:rsidRPr="00F1450E" w:rsidRDefault="0039076F" w:rsidP="00F1450E">
    <w:pPr>
      <w:pBdr>
        <w:top w:val="single" w:sz="4" w:space="1" w:color="auto"/>
      </w:pBdr>
      <w:rPr>
        <w:i/>
        <w:sz w:val="18"/>
        <w:szCs w:val="18"/>
      </w:rPr>
    </w:pPr>
    <w:r w:rsidRPr="00F1450E">
      <w:rPr>
        <w:i/>
        <w:sz w:val="18"/>
        <w:szCs w:val="18"/>
      </w:rPr>
      <w:t>Project Initiation Document</w:t>
    </w:r>
    <w:r>
      <w:rPr>
        <w:i/>
        <w:sz w:val="18"/>
        <w:szCs w:val="18"/>
      </w:rPr>
      <w:t xml:space="preserve">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sidRPr="00F1450E">
      <w:rPr>
        <w:i/>
        <w:sz w:val="18"/>
        <w:szCs w:val="18"/>
      </w:rPr>
      <w:t xml:space="preserve">Page </w:t>
    </w:r>
    <w:r w:rsidRPr="00F1450E">
      <w:rPr>
        <w:i/>
        <w:sz w:val="18"/>
        <w:szCs w:val="18"/>
      </w:rPr>
      <w:fldChar w:fldCharType="begin"/>
    </w:r>
    <w:r w:rsidRPr="00F1450E">
      <w:rPr>
        <w:i/>
        <w:sz w:val="18"/>
        <w:szCs w:val="18"/>
      </w:rPr>
      <w:instrText xml:space="preserve"> PAGE  \* Arabic  \* MERGEFORMAT </w:instrText>
    </w:r>
    <w:r w:rsidRPr="00F1450E">
      <w:rPr>
        <w:i/>
        <w:sz w:val="18"/>
        <w:szCs w:val="18"/>
      </w:rPr>
      <w:fldChar w:fldCharType="separate"/>
    </w:r>
    <w:r w:rsidR="00F94AB9">
      <w:rPr>
        <w:i/>
        <w:noProof/>
        <w:sz w:val="18"/>
        <w:szCs w:val="18"/>
      </w:rPr>
      <w:t>1</w:t>
    </w:r>
    <w:r w:rsidRPr="00F1450E">
      <w:rPr>
        <w:i/>
        <w:sz w:val="18"/>
        <w:szCs w:val="18"/>
      </w:rPr>
      <w:fldChar w:fldCharType="end"/>
    </w:r>
    <w:r w:rsidRPr="00F1450E">
      <w:rPr>
        <w:i/>
        <w:sz w:val="18"/>
        <w:szCs w:val="18"/>
      </w:rPr>
      <w:t xml:space="preserve"> of </w:t>
    </w:r>
    <w:r w:rsidRPr="00F1450E">
      <w:rPr>
        <w:i/>
        <w:sz w:val="18"/>
        <w:szCs w:val="18"/>
      </w:rPr>
      <w:fldChar w:fldCharType="begin"/>
    </w:r>
    <w:r w:rsidRPr="00F1450E">
      <w:rPr>
        <w:i/>
        <w:sz w:val="18"/>
        <w:szCs w:val="18"/>
      </w:rPr>
      <w:instrText xml:space="preserve"> NUMPAGES  \* Arabic  \* MERGEFORMAT </w:instrText>
    </w:r>
    <w:r w:rsidRPr="00F1450E">
      <w:rPr>
        <w:i/>
        <w:sz w:val="18"/>
        <w:szCs w:val="18"/>
      </w:rPr>
      <w:fldChar w:fldCharType="separate"/>
    </w:r>
    <w:r w:rsidR="00561E6A">
      <w:rPr>
        <w:i/>
        <w:noProof/>
        <w:sz w:val="18"/>
        <w:szCs w:val="18"/>
      </w:rPr>
      <w:t>4</w:t>
    </w:r>
    <w:r w:rsidRPr="00F1450E">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5401" w14:textId="77777777" w:rsidR="00231629" w:rsidRDefault="00231629" w:rsidP="006D4419">
      <w:pPr>
        <w:pStyle w:val="Header"/>
      </w:pPr>
      <w:r>
        <w:separator/>
      </w:r>
    </w:p>
  </w:footnote>
  <w:footnote w:type="continuationSeparator" w:id="0">
    <w:p w14:paraId="7222B7FD" w14:textId="77777777" w:rsidR="00231629" w:rsidRDefault="00231629" w:rsidP="006D4419">
      <w:pPr>
        <w:pStyle w:val="Header"/>
      </w:pPr>
      <w:r>
        <w:continuationSeparator/>
      </w:r>
    </w:p>
  </w:footnote>
  <w:footnote w:id="1">
    <w:p w14:paraId="00CEFF33" w14:textId="77777777" w:rsidR="006438A3" w:rsidRPr="006438A3" w:rsidRDefault="006438A3">
      <w:pPr>
        <w:pStyle w:val="FootnoteText"/>
        <w:rPr>
          <w:lang w:val="en-US"/>
        </w:rPr>
      </w:pPr>
      <w:r>
        <w:rPr>
          <w:rStyle w:val="FootnoteReference"/>
        </w:rPr>
        <w:footnoteRef/>
      </w:r>
      <w:r>
        <w:t xml:space="preserve"> </w:t>
      </w:r>
      <w:r w:rsidRPr="006438A3">
        <w:rPr>
          <w:sz w:val="16"/>
          <w:szCs w:val="16"/>
        </w:rPr>
        <w:t xml:space="preserve">Metabolic dysfunction-associated </w:t>
      </w:r>
      <w:proofErr w:type="spellStart"/>
      <w:r w:rsidRPr="006438A3">
        <w:rPr>
          <w:sz w:val="16"/>
          <w:szCs w:val="16"/>
        </w:rPr>
        <w:t>steatotic</w:t>
      </w:r>
      <w:proofErr w:type="spellEnd"/>
      <w:r w:rsidRPr="006438A3">
        <w:rPr>
          <w:sz w:val="16"/>
          <w:szCs w:val="16"/>
        </w:rPr>
        <w:t xml:space="preserve"> liver disease </w:t>
      </w:r>
      <w:hyperlink r:id="rId1" w:history="1">
        <w:r w:rsidRPr="006438A3">
          <w:rPr>
            <w:rStyle w:val="Hyperlink"/>
            <w:sz w:val="16"/>
            <w:szCs w:val="16"/>
          </w:rPr>
          <w:t>Introduction of new terminology for fatty liver diseases - British Liver Trust</w:t>
        </w:r>
      </w:hyperlink>
    </w:p>
  </w:footnote>
  <w:footnote w:id="2">
    <w:p w14:paraId="61891A90" w14:textId="51D5BC55" w:rsidR="00457C0D" w:rsidRPr="00616B4C" w:rsidRDefault="00457C0D">
      <w:pPr>
        <w:pStyle w:val="FootnoteText"/>
        <w:rPr>
          <w:sz w:val="16"/>
          <w:szCs w:val="16"/>
        </w:rPr>
      </w:pPr>
      <w:r>
        <w:rPr>
          <w:rStyle w:val="FootnoteReference"/>
        </w:rPr>
        <w:footnoteRef/>
      </w:r>
      <w:r>
        <w:t xml:space="preserve"> </w:t>
      </w:r>
      <w:r w:rsidR="00616B4C" w:rsidRPr="00616B4C">
        <w:rPr>
          <w:sz w:val="16"/>
          <w:szCs w:val="16"/>
        </w:rPr>
        <w:t xml:space="preserve">NICE, </w:t>
      </w:r>
      <w:proofErr w:type="spellStart"/>
      <w:r w:rsidR="00CB200D" w:rsidRPr="00616B4C">
        <w:rPr>
          <w:sz w:val="16"/>
          <w:szCs w:val="16"/>
        </w:rPr>
        <w:t>FibroScan</w:t>
      </w:r>
      <w:proofErr w:type="spellEnd"/>
      <w:r w:rsidR="00CB200D" w:rsidRPr="00616B4C">
        <w:rPr>
          <w:sz w:val="16"/>
          <w:szCs w:val="16"/>
        </w:rPr>
        <w:t xml:space="preserve"> for assessing liver fibrosis and cirrhosis in primary and community care</w:t>
      </w:r>
      <w:r w:rsidR="00616B4C" w:rsidRPr="00616B4C">
        <w:rPr>
          <w:sz w:val="16"/>
          <w:szCs w:val="16"/>
        </w:rPr>
        <w:t xml:space="preserve"> </w:t>
      </w:r>
      <w:hyperlink r:id="rId2" w:history="1">
        <w:r w:rsidR="00616B4C" w:rsidRPr="00616B4C">
          <w:rPr>
            <w:rStyle w:val="Hyperlink"/>
            <w:sz w:val="16"/>
            <w:szCs w:val="16"/>
          </w:rPr>
          <w:t>https://www.nice.org.uk/guidance/dg48/resources/fibroscan-for-assessing-liver-fibrosis-and-cirrhosis-outside-secondary-and-specialist-care-pdf-1053817906885</w:t>
        </w:r>
      </w:hyperlink>
      <w:r w:rsidR="00CB200D" w:rsidRPr="00616B4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37EA" w14:textId="77777777" w:rsidR="00F94AB9" w:rsidRDefault="00F94AB9" w:rsidP="00F94AB9">
    <w:pPr>
      <w:pStyle w:val="Header"/>
    </w:pPr>
  </w:p>
  <w:p w14:paraId="41DED5F6" w14:textId="77777777" w:rsidR="00F94AB9" w:rsidRDefault="00F94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B2BB" w14:textId="2545B119" w:rsidR="0039076F" w:rsidRDefault="00A45A31">
    <w:pPr>
      <w:pStyle w:val="Header"/>
    </w:pPr>
    <w:r>
      <w:rPr>
        <w:noProof/>
      </w:rPr>
      <w:drawing>
        <wp:anchor distT="0" distB="0" distL="114300" distR="114300" simplePos="0" relativeHeight="251657728" behindDoc="0" locked="0" layoutInCell="1" allowOverlap="1" wp14:anchorId="168ED6B1" wp14:editId="4CB70B9F">
          <wp:simplePos x="0" y="0"/>
          <wp:positionH relativeFrom="margin">
            <wp:posOffset>520700</wp:posOffset>
          </wp:positionH>
          <wp:positionV relativeFrom="margin">
            <wp:posOffset>-438150</wp:posOffset>
          </wp:positionV>
          <wp:extent cx="5753100" cy="4381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774F1F8"/>
    <w:lvl w:ilvl="0">
      <w:start w:val="1"/>
      <w:numFmt w:val="decimal"/>
      <w:lvlText w:val="%1."/>
      <w:lvlJc w:val="left"/>
      <w:pPr>
        <w:tabs>
          <w:tab w:val="num" w:pos="926"/>
        </w:tabs>
        <w:ind w:left="926" w:hanging="360"/>
      </w:pPr>
    </w:lvl>
  </w:abstractNum>
  <w:abstractNum w:abstractNumId="1" w15:restartNumberingAfterBreak="0">
    <w:nsid w:val="05B63B16"/>
    <w:multiLevelType w:val="hybridMultilevel"/>
    <w:tmpl w:val="C47C7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D7FA0"/>
    <w:multiLevelType w:val="hybridMultilevel"/>
    <w:tmpl w:val="16341D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812174"/>
    <w:multiLevelType w:val="hybridMultilevel"/>
    <w:tmpl w:val="4AC85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C374DA"/>
    <w:multiLevelType w:val="hybridMultilevel"/>
    <w:tmpl w:val="46A6AA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D2F6A"/>
    <w:multiLevelType w:val="hybridMultilevel"/>
    <w:tmpl w:val="83C6B086"/>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8547A"/>
    <w:multiLevelType w:val="hybridMultilevel"/>
    <w:tmpl w:val="4AD2BB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66EC7"/>
    <w:multiLevelType w:val="hybridMultilevel"/>
    <w:tmpl w:val="578ADAC0"/>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481BD0"/>
    <w:multiLevelType w:val="hybridMultilevel"/>
    <w:tmpl w:val="57F2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77FF7"/>
    <w:multiLevelType w:val="hybridMultilevel"/>
    <w:tmpl w:val="58589E88"/>
    <w:lvl w:ilvl="0" w:tplc="0FC4565C">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422E2"/>
    <w:multiLevelType w:val="hybridMultilevel"/>
    <w:tmpl w:val="683C41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C6D74"/>
    <w:multiLevelType w:val="hybridMultilevel"/>
    <w:tmpl w:val="ACA235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E47965"/>
    <w:multiLevelType w:val="hybridMultilevel"/>
    <w:tmpl w:val="C67E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D010C"/>
    <w:multiLevelType w:val="hybridMultilevel"/>
    <w:tmpl w:val="120A7EF2"/>
    <w:lvl w:ilvl="0" w:tplc="08090001">
      <w:start w:val="6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D2726D"/>
    <w:multiLevelType w:val="hybridMultilevel"/>
    <w:tmpl w:val="E33E7F7C"/>
    <w:lvl w:ilvl="0" w:tplc="07B4E10A">
      <w:start w:val="1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6E547F8"/>
    <w:multiLevelType w:val="hybridMultilevel"/>
    <w:tmpl w:val="FEAA5A9E"/>
    <w:lvl w:ilvl="0" w:tplc="D5FCCD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54F6A"/>
    <w:multiLevelType w:val="hybridMultilevel"/>
    <w:tmpl w:val="F3B626C6"/>
    <w:lvl w:ilvl="0" w:tplc="0AF4A8AA">
      <w:numFmt w:val="bullet"/>
      <w:lvlText w:val=""/>
      <w:lvlJc w:val="left"/>
      <w:pPr>
        <w:tabs>
          <w:tab w:val="num" w:pos="720"/>
        </w:tabs>
        <w:ind w:left="720" w:hanging="72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4F4057"/>
    <w:multiLevelType w:val="hybridMultilevel"/>
    <w:tmpl w:val="A402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9965A1"/>
    <w:multiLevelType w:val="hybridMultilevel"/>
    <w:tmpl w:val="36F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CE065C"/>
    <w:multiLevelType w:val="hybridMultilevel"/>
    <w:tmpl w:val="AF6E8D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E53E17"/>
    <w:multiLevelType w:val="hybridMultilevel"/>
    <w:tmpl w:val="F92226C0"/>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24D46"/>
    <w:multiLevelType w:val="hybridMultilevel"/>
    <w:tmpl w:val="61D218AA"/>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43DA369F"/>
    <w:multiLevelType w:val="hybridMultilevel"/>
    <w:tmpl w:val="135CF0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63C46"/>
    <w:multiLevelType w:val="hybridMultilevel"/>
    <w:tmpl w:val="725CAC5E"/>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4BCF77F1"/>
    <w:multiLevelType w:val="hybridMultilevel"/>
    <w:tmpl w:val="498869F2"/>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423469"/>
    <w:multiLevelType w:val="hybridMultilevel"/>
    <w:tmpl w:val="B700F4E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384709"/>
    <w:multiLevelType w:val="hybridMultilevel"/>
    <w:tmpl w:val="C97C2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7D71C2"/>
    <w:multiLevelType w:val="hybridMultilevel"/>
    <w:tmpl w:val="8ED28CA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99031C3"/>
    <w:multiLevelType w:val="hybridMultilevel"/>
    <w:tmpl w:val="0890CE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F17315"/>
    <w:multiLevelType w:val="hybridMultilevel"/>
    <w:tmpl w:val="82E8A252"/>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16918"/>
    <w:multiLevelType w:val="hybridMultilevel"/>
    <w:tmpl w:val="BB44C190"/>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76801"/>
    <w:multiLevelType w:val="multilevel"/>
    <w:tmpl w:val="5E6A5C0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140074"/>
    <w:multiLevelType w:val="hybridMultilevel"/>
    <w:tmpl w:val="E97E346E"/>
    <w:lvl w:ilvl="0" w:tplc="496E81E6">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54274"/>
    <w:multiLevelType w:val="multilevel"/>
    <w:tmpl w:val="5710570E"/>
    <w:lvl w:ilvl="0">
      <w:start w:val="6"/>
      <w:numFmt w:val="decimal"/>
      <w:lvlText w:val="%1"/>
      <w:lvlJc w:val="left"/>
      <w:pPr>
        <w:tabs>
          <w:tab w:val="num" w:pos="720"/>
        </w:tabs>
        <w:ind w:left="720" w:hanging="720"/>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0C90E88"/>
    <w:multiLevelType w:val="hybridMultilevel"/>
    <w:tmpl w:val="D4EC0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BE46C3"/>
    <w:multiLevelType w:val="hybridMultilevel"/>
    <w:tmpl w:val="EBC2FA5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4AC2C61"/>
    <w:multiLevelType w:val="hybridMultilevel"/>
    <w:tmpl w:val="A652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D1C9B"/>
    <w:multiLevelType w:val="multilevel"/>
    <w:tmpl w:val="446A0214"/>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abstractNum w:abstractNumId="38" w15:restartNumberingAfterBreak="0">
    <w:nsid w:val="7AE2144B"/>
    <w:multiLevelType w:val="hybridMultilevel"/>
    <w:tmpl w:val="76A66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B77B93"/>
    <w:multiLevelType w:val="hybridMultilevel"/>
    <w:tmpl w:val="0F963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F95C41"/>
    <w:multiLevelType w:val="hybridMultilevel"/>
    <w:tmpl w:val="0A46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51587">
    <w:abstractNumId w:val="22"/>
  </w:num>
  <w:num w:numId="2" w16cid:durableId="1737632500">
    <w:abstractNumId w:val="4"/>
  </w:num>
  <w:num w:numId="3" w16cid:durableId="108742477">
    <w:abstractNumId w:val="1"/>
  </w:num>
  <w:num w:numId="4" w16cid:durableId="694775454">
    <w:abstractNumId w:val="2"/>
  </w:num>
  <w:num w:numId="5" w16cid:durableId="1850217056">
    <w:abstractNumId w:val="19"/>
  </w:num>
  <w:num w:numId="6" w16cid:durableId="498741183">
    <w:abstractNumId w:val="31"/>
  </w:num>
  <w:num w:numId="7" w16cid:durableId="2005550932">
    <w:abstractNumId w:val="33"/>
  </w:num>
  <w:num w:numId="8" w16cid:durableId="466510775">
    <w:abstractNumId w:val="3"/>
  </w:num>
  <w:num w:numId="9" w16cid:durableId="696928196">
    <w:abstractNumId w:val="28"/>
  </w:num>
  <w:num w:numId="10" w16cid:durableId="2129349685">
    <w:abstractNumId w:val="39"/>
  </w:num>
  <w:num w:numId="11" w16cid:durableId="1409881377">
    <w:abstractNumId w:val="21"/>
  </w:num>
  <w:num w:numId="12" w16cid:durableId="964892732">
    <w:abstractNumId w:val="25"/>
  </w:num>
  <w:num w:numId="13" w16cid:durableId="1921520162">
    <w:abstractNumId w:val="16"/>
  </w:num>
  <w:num w:numId="14" w16cid:durableId="1281260458">
    <w:abstractNumId w:val="11"/>
  </w:num>
  <w:num w:numId="15" w16cid:durableId="106170139">
    <w:abstractNumId w:val="34"/>
  </w:num>
  <w:num w:numId="16" w16cid:durableId="907301168">
    <w:abstractNumId w:val="37"/>
  </w:num>
  <w:num w:numId="17" w16cid:durableId="1475371079">
    <w:abstractNumId w:val="15"/>
  </w:num>
  <w:num w:numId="18" w16cid:durableId="1359232589">
    <w:abstractNumId w:val="12"/>
  </w:num>
  <w:num w:numId="19" w16cid:durableId="1048989825">
    <w:abstractNumId w:val="24"/>
  </w:num>
  <w:num w:numId="20" w16cid:durableId="554973643">
    <w:abstractNumId w:val="6"/>
  </w:num>
  <w:num w:numId="21" w16cid:durableId="1477142363">
    <w:abstractNumId w:val="10"/>
  </w:num>
  <w:num w:numId="22" w16cid:durableId="1321739006">
    <w:abstractNumId w:val="36"/>
  </w:num>
  <w:num w:numId="23" w16cid:durableId="354304484">
    <w:abstractNumId w:val="35"/>
  </w:num>
  <w:num w:numId="24" w16cid:durableId="2126381319">
    <w:abstractNumId w:val="38"/>
  </w:num>
  <w:num w:numId="25" w16cid:durableId="534460833">
    <w:abstractNumId w:val="26"/>
  </w:num>
  <w:num w:numId="26" w16cid:durableId="667751999">
    <w:abstractNumId w:val="0"/>
  </w:num>
  <w:num w:numId="27" w16cid:durableId="779644465">
    <w:abstractNumId w:val="23"/>
  </w:num>
  <w:num w:numId="28" w16cid:durableId="638265211">
    <w:abstractNumId w:val="27"/>
  </w:num>
  <w:num w:numId="29" w16cid:durableId="1236891808">
    <w:abstractNumId w:val="8"/>
  </w:num>
  <w:num w:numId="30" w16cid:durableId="1596866797">
    <w:abstractNumId w:val="17"/>
  </w:num>
  <w:num w:numId="31" w16cid:durableId="76639686">
    <w:abstractNumId w:val="40"/>
  </w:num>
  <w:num w:numId="32" w16cid:durableId="625552614">
    <w:abstractNumId w:val="18"/>
  </w:num>
  <w:num w:numId="33" w16cid:durableId="698504597">
    <w:abstractNumId w:val="9"/>
  </w:num>
  <w:num w:numId="34" w16cid:durableId="108820027">
    <w:abstractNumId w:val="32"/>
  </w:num>
  <w:num w:numId="35" w16cid:durableId="2067944441">
    <w:abstractNumId w:val="14"/>
  </w:num>
  <w:num w:numId="36" w16cid:durableId="1200165039">
    <w:abstractNumId w:val="30"/>
  </w:num>
  <w:num w:numId="37" w16cid:durableId="716051706">
    <w:abstractNumId w:val="7"/>
  </w:num>
  <w:num w:numId="38" w16cid:durableId="2031563583">
    <w:abstractNumId w:val="29"/>
  </w:num>
  <w:num w:numId="39" w16cid:durableId="859391570">
    <w:abstractNumId w:val="20"/>
  </w:num>
  <w:num w:numId="40" w16cid:durableId="1783265229">
    <w:abstractNumId w:val="5"/>
  </w:num>
  <w:num w:numId="41" w16cid:durableId="131159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BE"/>
    <w:rsid w:val="00010104"/>
    <w:rsid w:val="000156C7"/>
    <w:rsid w:val="00015951"/>
    <w:rsid w:val="00017ADD"/>
    <w:rsid w:val="00017FBB"/>
    <w:rsid w:val="00026E14"/>
    <w:rsid w:val="000309AF"/>
    <w:rsid w:val="00032727"/>
    <w:rsid w:val="00041E13"/>
    <w:rsid w:val="00042A7F"/>
    <w:rsid w:val="000464CA"/>
    <w:rsid w:val="00060FD2"/>
    <w:rsid w:val="00064F36"/>
    <w:rsid w:val="000652F4"/>
    <w:rsid w:val="00066C56"/>
    <w:rsid w:val="000672B8"/>
    <w:rsid w:val="00070654"/>
    <w:rsid w:val="000771E8"/>
    <w:rsid w:val="000824FA"/>
    <w:rsid w:val="00082585"/>
    <w:rsid w:val="00086128"/>
    <w:rsid w:val="000862D9"/>
    <w:rsid w:val="00090602"/>
    <w:rsid w:val="00090AEE"/>
    <w:rsid w:val="00094197"/>
    <w:rsid w:val="000975C6"/>
    <w:rsid w:val="000A51C0"/>
    <w:rsid w:val="000B0125"/>
    <w:rsid w:val="000B0AFF"/>
    <w:rsid w:val="000B1F1D"/>
    <w:rsid w:val="000C0C08"/>
    <w:rsid w:val="000C5C8A"/>
    <w:rsid w:val="000D26F6"/>
    <w:rsid w:val="000D5D0E"/>
    <w:rsid w:val="000E1D6D"/>
    <w:rsid w:val="000F1870"/>
    <w:rsid w:val="000F268C"/>
    <w:rsid w:val="000F29A8"/>
    <w:rsid w:val="000F2BCF"/>
    <w:rsid w:val="000F4974"/>
    <w:rsid w:val="001010EB"/>
    <w:rsid w:val="00102153"/>
    <w:rsid w:val="00102CEF"/>
    <w:rsid w:val="00105448"/>
    <w:rsid w:val="001068CD"/>
    <w:rsid w:val="00132248"/>
    <w:rsid w:val="001359AB"/>
    <w:rsid w:val="00144A08"/>
    <w:rsid w:val="00147E1B"/>
    <w:rsid w:val="00151691"/>
    <w:rsid w:val="0015437A"/>
    <w:rsid w:val="0015443E"/>
    <w:rsid w:val="001545FF"/>
    <w:rsid w:val="00154E8A"/>
    <w:rsid w:val="00155264"/>
    <w:rsid w:val="00157F79"/>
    <w:rsid w:val="0016038E"/>
    <w:rsid w:val="00161A38"/>
    <w:rsid w:val="00167DA6"/>
    <w:rsid w:val="001722EF"/>
    <w:rsid w:val="001729D6"/>
    <w:rsid w:val="00175429"/>
    <w:rsid w:val="00177F8B"/>
    <w:rsid w:val="00182D0B"/>
    <w:rsid w:val="001848F3"/>
    <w:rsid w:val="00185622"/>
    <w:rsid w:val="001866C3"/>
    <w:rsid w:val="00186859"/>
    <w:rsid w:val="00196D3E"/>
    <w:rsid w:val="001A1ECC"/>
    <w:rsid w:val="001A41B1"/>
    <w:rsid w:val="001A6A99"/>
    <w:rsid w:val="001A6D37"/>
    <w:rsid w:val="001B0941"/>
    <w:rsid w:val="001C4AE9"/>
    <w:rsid w:val="001D066B"/>
    <w:rsid w:val="001E16EE"/>
    <w:rsid w:val="001E4559"/>
    <w:rsid w:val="001E72E7"/>
    <w:rsid w:val="001F0A10"/>
    <w:rsid w:val="001F0B75"/>
    <w:rsid w:val="001F3386"/>
    <w:rsid w:val="00200C39"/>
    <w:rsid w:val="0020191D"/>
    <w:rsid w:val="0020194B"/>
    <w:rsid w:val="00203AC1"/>
    <w:rsid w:val="002102FF"/>
    <w:rsid w:val="00225377"/>
    <w:rsid w:val="00225DC3"/>
    <w:rsid w:val="00225DF9"/>
    <w:rsid w:val="002267BD"/>
    <w:rsid w:val="002267D5"/>
    <w:rsid w:val="0022716C"/>
    <w:rsid w:val="00231629"/>
    <w:rsid w:val="002365E3"/>
    <w:rsid w:val="002369B0"/>
    <w:rsid w:val="00236F83"/>
    <w:rsid w:val="00242E66"/>
    <w:rsid w:val="00247185"/>
    <w:rsid w:val="00250DBB"/>
    <w:rsid w:val="00251C22"/>
    <w:rsid w:val="00252528"/>
    <w:rsid w:val="0025765F"/>
    <w:rsid w:val="002606DA"/>
    <w:rsid w:val="0026254B"/>
    <w:rsid w:val="00263394"/>
    <w:rsid w:val="0027595A"/>
    <w:rsid w:val="00280A8D"/>
    <w:rsid w:val="0028442D"/>
    <w:rsid w:val="00284779"/>
    <w:rsid w:val="00291AB3"/>
    <w:rsid w:val="00296869"/>
    <w:rsid w:val="00296EA2"/>
    <w:rsid w:val="002A449D"/>
    <w:rsid w:val="002A4FAC"/>
    <w:rsid w:val="002B38AD"/>
    <w:rsid w:val="002B5104"/>
    <w:rsid w:val="002B5717"/>
    <w:rsid w:val="002B7012"/>
    <w:rsid w:val="002C64AD"/>
    <w:rsid w:val="002C655A"/>
    <w:rsid w:val="002C7FD6"/>
    <w:rsid w:val="002D0451"/>
    <w:rsid w:val="002D0FE9"/>
    <w:rsid w:val="002D6465"/>
    <w:rsid w:val="002E0733"/>
    <w:rsid w:val="002E1861"/>
    <w:rsid w:val="002E4433"/>
    <w:rsid w:val="002E7657"/>
    <w:rsid w:val="002F04CA"/>
    <w:rsid w:val="002F06E5"/>
    <w:rsid w:val="002F15CD"/>
    <w:rsid w:val="002F1E45"/>
    <w:rsid w:val="003049BE"/>
    <w:rsid w:val="0031029D"/>
    <w:rsid w:val="003127A6"/>
    <w:rsid w:val="00313E4E"/>
    <w:rsid w:val="00315571"/>
    <w:rsid w:val="0032749C"/>
    <w:rsid w:val="00330B8C"/>
    <w:rsid w:val="00331B0A"/>
    <w:rsid w:val="003323BD"/>
    <w:rsid w:val="00332FE1"/>
    <w:rsid w:val="0033755D"/>
    <w:rsid w:val="00342F46"/>
    <w:rsid w:val="003509A0"/>
    <w:rsid w:val="00354C0F"/>
    <w:rsid w:val="0035690A"/>
    <w:rsid w:val="00357210"/>
    <w:rsid w:val="00363E28"/>
    <w:rsid w:val="00367A1D"/>
    <w:rsid w:val="0037628C"/>
    <w:rsid w:val="003779F9"/>
    <w:rsid w:val="0038558F"/>
    <w:rsid w:val="00385C25"/>
    <w:rsid w:val="0038682B"/>
    <w:rsid w:val="0039076F"/>
    <w:rsid w:val="00390811"/>
    <w:rsid w:val="00390A75"/>
    <w:rsid w:val="003A14E5"/>
    <w:rsid w:val="003A6DE6"/>
    <w:rsid w:val="003B21DE"/>
    <w:rsid w:val="003B5F3A"/>
    <w:rsid w:val="003C5129"/>
    <w:rsid w:val="003E2A31"/>
    <w:rsid w:val="003E3B91"/>
    <w:rsid w:val="003E58FF"/>
    <w:rsid w:val="003F0A0E"/>
    <w:rsid w:val="003F254E"/>
    <w:rsid w:val="003F2C75"/>
    <w:rsid w:val="003F4237"/>
    <w:rsid w:val="003F6169"/>
    <w:rsid w:val="003F7CA0"/>
    <w:rsid w:val="004113F5"/>
    <w:rsid w:val="00413015"/>
    <w:rsid w:val="00413219"/>
    <w:rsid w:val="00413E0C"/>
    <w:rsid w:val="00420D56"/>
    <w:rsid w:val="00422690"/>
    <w:rsid w:val="0042413D"/>
    <w:rsid w:val="004271DE"/>
    <w:rsid w:val="00427F75"/>
    <w:rsid w:val="0043522C"/>
    <w:rsid w:val="004376CD"/>
    <w:rsid w:val="004400DE"/>
    <w:rsid w:val="00443CAD"/>
    <w:rsid w:val="00451175"/>
    <w:rsid w:val="00451DDB"/>
    <w:rsid w:val="004546F5"/>
    <w:rsid w:val="00457C0D"/>
    <w:rsid w:val="004625B1"/>
    <w:rsid w:val="004647D0"/>
    <w:rsid w:val="004675BD"/>
    <w:rsid w:val="00473F00"/>
    <w:rsid w:val="004749E0"/>
    <w:rsid w:val="004767FE"/>
    <w:rsid w:val="004817DB"/>
    <w:rsid w:val="00482DD8"/>
    <w:rsid w:val="0048458B"/>
    <w:rsid w:val="00486715"/>
    <w:rsid w:val="00487145"/>
    <w:rsid w:val="0048722C"/>
    <w:rsid w:val="00491FC6"/>
    <w:rsid w:val="00495AEB"/>
    <w:rsid w:val="004962B7"/>
    <w:rsid w:val="004A42C4"/>
    <w:rsid w:val="004A612A"/>
    <w:rsid w:val="004B2711"/>
    <w:rsid w:val="004B3A0F"/>
    <w:rsid w:val="004B4358"/>
    <w:rsid w:val="004C0B08"/>
    <w:rsid w:val="004C164F"/>
    <w:rsid w:val="004C32AC"/>
    <w:rsid w:val="004C5490"/>
    <w:rsid w:val="004C7F2A"/>
    <w:rsid w:val="004D0126"/>
    <w:rsid w:val="004D0FCB"/>
    <w:rsid w:val="004D3D3E"/>
    <w:rsid w:val="004D47AA"/>
    <w:rsid w:val="004E26DB"/>
    <w:rsid w:val="004F0424"/>
    <w:rsid w:val="004F0460"/>
    <w:rsid w:val="004F44AA"/>
    <w:rsid w:val="00505DF3"/>
    <w:rsid w:val="005070D9"/>
    <w:rsid w:val="00511169"/>
    <w:rsid w:val="00515E6F"/>
    <w:rsid w:val="00524665"/>
    <w:rsid w:val="00530F8A"/>
    <w:rsid w:val="00540C81"/>
    <w:rsid w:val="00544912"/>
    <w:rsid w:val="005450D9"/>
    <w:rsid w:val="00546669"/>
    <w:rsid w:val="00561E6A"/>
    <w:rsid w:val="00563D6C"/>
    <w:rsid w:val="00564301"/>
    <w:rsid w:val="00572E1B"/>
    <w:rsid w:val="0057434F"/>
    <w:rsid w:val="0058297C"/>
    <w:rsid w:val="0058308C"/>
    <w:rsid w:val="00591559"/>
    <w:rsid w:val="00592634"/>
    <w:rsid w:val="005A0385"/>
    <w:rsid w:val="005A64A5"/>
    <w:rsid w:val="005B21FB"/>
    <w:rsid w:val="005B29D9"/>
    <w:rsid w:val="005B3230"/>
    <w:rsid w:val="005B7491"/>
    <w:rsid w:val="005C0933"/>
    <w:rsid w:val="005C2F5B"/>
    <w:rsid w:val="005C49AA"/>
    <w:rsid w:val="005C718B"/>
    <w:rsid w:val="005D0879"/>
    <w:rsid w:val="005D0FB4"/>
    <w:rsid w:val="005D2A38"/>
    <w:rsid w:val="005D4321"/>
    <w:rsid w:val="005D6543"/>
    <w:rsid w:val="005E1DB2"/>
    <w:rsid w:val="005F2D17"/>
    <w:rsid w:val="005F3F2B"/>
    <w:rsid w:val="005F42D7"/>
    <w:rsid w:val="005F637A"/>
    <w:rsid w:val="00600799"/>
    <w:rsid w:val="00602979"/>
    <w:rsid w:val="006141B3"/>
    <w:rsid w:val="0061639C"/>
    <w:rsid w:val="00616B4C"/>
    <w:rsid w:val="0061768D"/>
    <w:rsid w:val="00620EA0"/>
    <w:rsid w:val="006358C4"/>
    <w:rsid w:val="00635BF6"/>
    <w:rsid w:val="0064130B"/>
    <w:rsid w:val="006438A3"/>
    <w:rsid w:val="006470F8"/>
    <w:rsid w:val="006502E5"/>
    <w:rsid w:val="00657124"/>
    <w:rsid w:val="0066167D"/>
    <w:rsid w:val="00663867"/>
    <w:rsid w:val="00670F64"/>
    <w:rsid w:val="006715B7"/>
    <w:rsid w:val="00674EC1"/>
    <w:rsid w:val="006760B6"/>
    <w:rsid w:val="0067667B"/>
    <w:rsid w:val="00691AAA"/>
    <w:rsid w:val="00693185"/>
    <w:rsid w:val="006A1FED"/>
    <w:rsid w:val="006A340A"/>
    <w:rsid w:val="006B072D"/>
    <w:rsid w:val="006B41FF"/>
    <w:rsid w:val="006B5EF5"/>
    <w:rsid w:val="006C099B"/>
    <w:rsid w:val="006C3306"/>
    <w:rsid w:val="006C3DD7"/>
    <w:rsid w:val="006C5C81"/>
    <w:rsid w:val="006D06D5"/>
    <w:rsid w:val="006D4419"/>
    <w:rsid w:val="006D5355"/>
    <w:rsid w:val="006D7108"/>
    <w:rsid w:val="006D7B4E"/>
    <w:rsid w:val="006E54E3"/>
    <w:rsid w:val="006E6E22"/>
    <w:rsid w:val="006F417C"/>
    <w:rsid w:val="007020DB"/>
    <w:rsid w:val="00703012"/>
    <w:rsid w:val="007042ED"/>
    <w:rsid w:val="00707593"/>
    <w:rsid w:val="00710E42"/>
    <w:rsid w:val="00711590"/>
    <w:rsid w:val="00715281"/>
    <w:rsid w:val="00715808"/>
    <w:rsid w:val="00715CA7"/>
    <w:rsid w:val="00720F3B"/>
    <w:rsid w:val="0072246E"/>
    <w:rsid w:val="00723A45"/>
    <w:rsid w:val="007242E0"/>
    <w:rsid w:val="007245C8"/>
    <w:rsid w:val="00743F74"/>
    <w:rsid w:val="00747D40"/>
    <w:rsid w:val="00755344"/>
    <w:rsid w:val="00760D28"/>
    <w:rsid w:val="0076261A"/>
    <w:rsid w:val="0077011D"/>
    <w:rsid w:val="00775D35"/>
    <w:rsid w:val="007765B9"/>
    <w:rsid w:val="00781B22"/>
    <w:rsid w:val="00783BEE"/>
    <w:rsid w:val="00786BA2"/>
    <w:rsid w:val="00786DEE"/>
    <w:rsid w:val="007923FD"/>
    <w:rsid w:val="0079323F"/>
    <w:rsid w:val="00794FD0"/>
    <w:rsid w:val="00797DA6"/>
    <w:rsid w:val="007A1CE5"/>
    <w:rsid w:val="007A422C"/>
    <w:rsid w:val="007B0184"/>
    <w:rsid w:val="007B6274"/>
    <w:rsid w:val="007B6744"/>
    <w:rsid w:val="007C1D6D"/>
    <w:rsid w:val="007D19F8"/>
    <w:rsid w:val="007D1FAD"/>
    <w:rsid w:val="007D27F6"/>
    <w:rsid w:val="007D4F38"/>
    <w:rsid w:val="007D67FB"/>
    <w:rsid w:val="007D7A7E"/>
    <w:rsid w:val="007E7D04"/>
    <w:rsid w:val="007F38B9"/>
    <w:rsid w:val="007F4B1E"/>
    <w:rsid w:val="00804AD8"/>
    <w:rsid w:val="00805A5F"/>
    <w:rsid w:val="0081114C"/>
    <w:rsid w:val="00814574"/>
    <w:rsid w:val="0082010F"/>
    <w:rsid w:val="00842C0E"/>
    <w:rsid w:val="008459FE"/>
    <w:rsid w:val="00852390"/>
    <w:rsid w:val="008542F8"/>
    <w:rsid w:val="0085678A"/>
    <w:rsid w:val="008567CB"/>
    <w:rsid w:val="00857669"/>
    <w:rsid w:val="00860B79"/>
    <w:rsid w:val="00860C04"/>
    <w:rsid w:val="00866FAC"/>
    <w:rsid w:val="00872F99"/>
    <w:rsid w:val="00873E4D"/>
    <w:rsid w:val="008740A2"/>
    <w:rsid w:val="008801FB"/>
    <w:rsid w:val="0088548B"/>
    <w:rsid w:val="00895F09"/>
    <w:rsid w:val="00896D35"/>
    <w:rsid w:val="008A3AD4"/>
    <w:rsid w:val="008C0A09"/>
    <w:rsid w:val="008C1A6B"/>
    <w:rsid w:val="008C3687"/>
    <w:rsid w:val="008C3888"/>
    <w:rsid w:val="008D212C"/>
    <w:rsid w:val="008D25FF"/>
    <w:rsid w:val="008E5FEF"/>
    <w:rsid w:val="008F4694"/>
    <w:rsid w:val="008F6507"/>
    <w:rsid w:val="0090089D"/>
    <w:rsid w:val="00903FB2"/>
    <w:rsid w:val="00911227"/>
    <w:rsid w:val="00912A8C"/>
    <w:rsid w:val="009145C4"/>
    <w:rsid w:val="00921492"/>
    <w:rsid w:val="009321CE"/>
    <w:rsid w:val="00933DD1"/>
    <w:rsid w:val="009373A7"/>
    <w:rsid w:val="00937F1B"/>
    <w:rsid w:val="00944E62"/>
    <w:rsid w:val="00947B7D"/>
    <w:rsid w:val="00955261"/>
    <w:rsid w:val="0095701F"/>
    <w:rsid w:val="00963EDE"/>
    <w:rsid w:val="009660F8"/>
    <w:rsid w:val="00974217"/>
    <w:rsid w:val="009835EC"/>
    <w:rsid w:val="00984739"/>
    <w:rsid w:val="009906C3"/>
    <w:rsid w:val="00992ED9"/>
    <w:rsid w:val="009933A3"/>
    <w:rsid w:val="009939AA"/>
    <w:rsid w:val="00994EF8"/>
    <w:rsid w:val="009A118B"/>
    <w:rsid w:val="009A263E"/>
    <w:rsid w:val="009B0622"/>
    <w:rsid w:val="009B2324"/>
    <w:rsid w:val="009C1024"/>
    <w:rsid w:val="009C4C55"/>
    <w:rsid w:val="009D0EBF"/>
    <w:rsid w:val="009D1607"/>
    <w:rsid w:val="009D494B"/>
    <w:rsid w:val="009E1B47"/>
    <w:rsid w:val="009E62A4"/>
    <w:rsid w:val="009F2403"/>
    <w:rsid w:val="009F309F"/>
    <w:rsid w:val="00A06C76"/>
    <w:rsid w:val="00A070C5"/>
    <w:rsid w:val="00A17464"/>
    <w:rsid w:val="00A24120"/>
    <w:rsid w:val="00A276D9"/>
    <w:rsid w:val="00A31C21"/>
    <w:rsid w:val="00A32142"/>
    <w:rsid w:val="00A356D5"/>
    <w:rsid w:val="00A40997"/>
    <w:rsid w:val="00A41662"/>
    <w:rsid w:val="00A45A31"/>
    <w:rsid w:val="00A467AC"/>
    <w:rsid w:val="00A65FE2"/>
    <w:rsid w:val="00A7070C"/>
    <w:rsid w:val="00A70924"/>
    <w:rsid w:val="00A72D01"/>
    <w:rsid w:val="00A82615"/>
    <w:rsid w:val="00A872A6"/>
    <w:rsid w:val="00A90E12"/>
    <w:rsid w:val="00A94F84"/>
    <w:rsid w:val="00A951F5"/>
    <w:rsid w:val="00AA026C"/>
    <w:rsid w:val="00AA5C02"/>
    <w:rsid w:val="00AB181C"/>
    <w:rsid w:val="00AB37B2"/>
    <w:rsid w:val="00AB6384"/>
    <w:rsid w:val="00AB65CD"/>
    <w:rsid w:val="00AC2F03"/>
    <w:rsid w:val="00AC5C9E"/>
    <w:rsid w:val="00AC6BEB"/>
    <w:rsid w:val="00AD1627"/>
    <w:rsid w:val="00AD3B92"/>
    <w:rsid w:val="00AD4996"/>
    <w:rsid w:val="00AE0B34"/>
    <w:rsid w:val="00AE3B49"/>
    <w:rsid w:val="00AE7737"/>
    <w:rsid w:val="00AF65D9"/>
    <w:rsid w:val="00B00F7E"/>
    <w:rsid w:val="00B02124"/>
    <w:rsid w:val="00B05030"/>
    <w:rsid w:val="00B050C4"/>
    <w:rsid w:val="00B1578C"/>
    <w:rsid w:val="00B32EEE"/>
    <w:rsid w:val="00B41778"/>
    <w:rsid w:val="00B42FCB"/>
    <w:rsid w:val="00B43442"/>
    <w:rsid w:val="00B45423"/>
    <w:rsid w:val="00B47B2B"/>
    <w:rsid w:val="00B536BF"/>
    <w:rsid w:val="00B60797"/>
    <w:rsid w:val="00B65C2D"/>
    <w:rsid w:val="00B83275"/>
    <w:rsid w:val="00B90F44"/>
    <w:rsid w:val="00B91AEE"/>
    <w:rsid w:val="00B92170"/>
    <w:rsid w:val="00B92557"/>
    <w:rsid w:val="00B93021"/>
    <w:rsid w:val="00B93B5D"/>
    <w:rsid w:val="00B9476A"/>
    <w:rsid w:val="00B94E0B"/>
    <w:rsid w:val="00BA735F"/>
    <w:rsid w:val="00BB0A46"/>
    <w:rsid w:val="00BB5720"/>
    <w:rsid w:val="00BB5AE3"/>
    <w:rsid w:val="00BB5B75"/>
    <w:rsid w:val="00BC4019"/>
    <w:rsid w:val="00BC6442"/>
    <w:rsid w:val="00BD0459"/>
    <w:rsid w:val="00BD36A2"/>
    <w:rsid w:val="00BD4581"/>
    <w:rsid w:val="00BF5BFA"/>
    <w:rsid w:val="00C10F78"/>
    <w:rsid w:val="00C11307"/>
    <w:rsid w:val="00C139F2"/>
    <w:rsid w:val="00C16441"/>
    <w:rsid w:val="00C169C2"/>
    <w:rsid w:val="00C17E9C"/>
    <w:rsid w:val="00C20967"/>
    <w:rsid w:val="00C24B60"/>
    <w:rsid w:val="00C30FF3"/>
    <w:rsid w:val="00C310C6"/>
    <w:rsid w:val="00C329F1"/>
    <w:rsid w:val="00C34844"/>
    <w:rsid w:val="00C41E14"/>
    <w:rsid w:val="00C44946"/>
    <w:rsid w:val="00C478AF"/>
    <w:rsid w:val="00C507DA"/>
    <w:rsid w:val="00C51644"/>
    <w:rsid w:val="00C54378"/>
    <w:rsid w:val="00C62955"/>
    <w:rsid w:val="00C63810"/>
    <w:rsid w:val="00C63A15"/>
    <w:rsid w:val="00C64396"/>
    <w:rsid w:val="00C767DE"/>
    <w:rsid w:val="00C80689"/>
    <w:rsid w:val="00C843A0"/>
    <w:rsid w:val="00C9060B"/>
    <w:rsid w:val="00C91465"/>
    <w:rsid w:val="00C919E1"/>
    <w:rsid w:val="00CA4BED"/>
    <w:rsid w:val="00CA64BD"/>
    <w:rsid w:val="00CB1DE4"/>
    <w:rsid w:val="00CB200D"/>
    <w:rsid w:val="00CB2922"/>
    <w:rsid w:val="00CC36AF"/>
    <w:rsid w:val="00CC59AB"/>
    <w:rsid w:val="00CC6F3D"/>
    <w:rsid w:val="00CD21EF"/>
    <w:rsid w:val="00CD3260"/>
    <w:rsid w:val="00CD43C6"/>
    <w:rsid w:val="00CD4F74"/>
    <w:rsid w:val="00CE296C"/>
    <w:rsid w:val="00CE4092"/>
    <w:rsid w:val="00CE4C54"/>
    <w:rsid w:val="00CF0DC6"/>
    <w:rsid w:val="00D02215"/>
    <w:rsid w:val="00D05D41"/>
    <w:rsid w:val="00D07472"/>
    <w:rsid w:val="00D12315"/>
    <w:rsid w:val="00D13136"/>
    <w:rsid w:val="00D2168C"/>
    <w:rsid w:val="00D41E24"/>
    <w:rsid w:val="00D43247"/>
    <w:rsid w:val="00D45D84"/>
    <w:rsid w:val="00D55B95"/>
    <w:rsid w:val="00D71F03"/>
    <w:rsid w:val="00D73DC5"/>
    <w:rsid w:val="00D77399"/>
    <w:rsid w:val="00D84BE4"/>
    <w:rsid w:val="00D84EA9"/>
    <w:rsid w:val="00D93638"/>
    <w:rsid w:val="00D9398C"/>
    <w:rsid w:val="00DA3E04"/>
    <w:rsid w:val="00DA46E2"/>
    <w:rsid w:val="00DA6FE4"/>
    <w:rsid w:val="00DB1DF8"/>
    <w:rsid w:val="00DB571D"/>
    <w:rsid w:val="00DB7A87"/>
    <w:rsid w:val="00DD5553"/>
    <w:rsid w:val="00DE2C5F"/>
    <w:rsid w:val="00DE35A5"/>
    <w:rsid w:val="00DF4E7E"/>
    <w:rsid w:val="00E06E8C"/>
    <w:rsid w:val="00E27FB8"/>
    <w:rsid w:val="00E3785D"/>
    <w:rsid w:val="00E4409A"/>
    <w:rsid w:val="00E5081F"/>
    <w:rsid w:val="00E548B1"/>
    <w:rsid w:val="00E612BC"/>
    <w:rsid w:val="00E61566"/>
    <w:rsid w:val="00E65394"/>
    <w:rsid w:val="00E6616D"/>
    <w:rsid w:val="00E66C21"/>
    <w:rsid w:val="00E822FD"/>
    <w:rsid w:val="00E93848"/>
    <w:rsid w:val="00EA25B3"/>
    <w:rsid w:val="00EB2E90"/>
    <w:rsid w:val="00EB33BA"/>
    <w:rsid w:val="00EB6468"/>
    <w:rsid w:val="00ED2446"/>
    <w:rsid w:val="00ED49D9"/>
    <w:rsid w:val="00ED78FA"/>
    <w:rsid w:val="00EE0C79"/>
    <w:rsid w:val="00EF2480"/>
    <w:rsid w:val="00EF5AC3"/>
    <w:rsid w:val="00EF642B"/>
    <w:rsid w:val="00EF6AA0"/>
    <w:rsid w:val="00EF7F84"/>
    <w:rsid w:val="00F0178E"/>
    <w:rsid w:val="00F02895"/>
    <w:rsid w:val="00F02C4F"/>
    <w:rsid w:val="00F071DD"/>
    <w:rsid w:val="00F1035F"/>
    <w:rsid w:val="00F10C8D"/>
    <w:rsid w:val="00F13A40"/>
    <w:rsid w:val="00F1450E"/>
    <w:rsid w:val="00F16833"/>
    <w:rsid w:val="00F177EA"/>
    <w:rsid w:val="00F178ED"/>
    <w:rsid w:val="00F22E91"/>
    <w:rsid w:val="00F23C31"/>
    <w:rsid w:val="00F24B26"/>
    <w:rsid w:val="00F30B09"/>
    <w:rsid w:val="00F30E2C"/>
    <w:rsid w:val="00F34624"/>
    <w:rsid w:val="00F4152A"/>
    <w:rsid w:val="00F41790"/>
    <w:rsid w:val="00F4340C"/>
    <w:rsid w:val="00F463DC"/>
    <w:rsid w:val="00F50776"/>
    <w:rsid w:val="00F54260"/>
    <w:rsid w:val="00F552AF"/>
    <w:rsid w:val="00F56A01"/>
    <w:rsid w:val="00F62A2B"/>
    <w:rsid w:val="00F63D33"/>
    <w:rsid w:val="00F67EC3"/>
    <w:rsid w:val="00F701CC"/>
    <w:rsid w:val="00F71697"/>
    <w:rsid w:val="00F7177F"/>
    <w:rsid w:val="00F81F18"/>
    <w:rsid w:val="00F8239C"/>
    <w:rsid w:val="00F90D09"/>
    <w:rsid w:val="00F94AB9"/>
    <w:rsid w:val="00F961E3"/>
    <w:rsid w:val="00F97070"/>
    <w:rsid w:val="00F97A25"/>
    <w:rsid w:val="00FB0D65"/>
    <w:rsid w:val="00FB1EC4"/>
    <w:rsid w:val="00FB28A5"/>
    <w:rsid w:val="00FC25DE"/>
    <w:rsid w:val="00FC6608"/>
    <w:rsid w:val="00FD1BA9"/>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5F539A10"/>
  <w15:chartTrackingRefBased/>
  <w15:docId w15:val="{808CBB65-7C80-4BF2-85EB-ECCE8BAF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1E8"/>
    <w:rPr>
      <w:rFonts w:ascii="Arial" w:hAnsi="Arial"/>
      <w:sz w:val="22"/>
      <w:szCs w:val="22"/>
    </w:rPr>
  </w:style>
  <w:style w:type="paragraph" w:styleId="Heading2">
    <w:name w:val="heading 2"/>
    <w:basedOn w:val="Normal"/>
    <w:next w:val="Normal"/>
    <w:link w:val="Heading2Char"/>
    <w:semiHidden/>
    <w:unhideWhenUsed/>
    <w:qFormat/>
    <w:rsid w:val="00186859"/>
    <w:pPr>
      <w:keepNext/>
      <w:spacing w:before="240" w:after="60"/>
      <w:outlineLvl w:val="1"/>
    </w:pPr>
    <w:rPr>
      <w:rFonts w:ascii="Cambria" w:hAnsi="Cambria"/>
      <w:b/>
      <w:bCs/>
      <w:i/>
      <w:iCs/>
      <w:sz w:val="28"/>
      <w:szCs w:val="28"/>
      <w:lang w:val="x-none" w:eastAsia="x-none"/>
    </w:rPr>
  </w:style>
  <w:style w:type="paragraph" w:styleId="Heading4">
    <w:name w:val="heading 4"/>
    <w:basedOn w:val="Normal"/>
    <w:next w:val="Normal"/>
    <w:qFormat/>
    <w:rsid w:val="0079323F"/>
    <w:pPr>
      <w:keepNext/>
      <w:spacing w:before="240" w:after="60"/>
      <w:outlineLvl w:val="3"/>
    </w:pPr>
    <w:rPr>
      <w:rFonts w:ascii="Times New Roman" w:hAnsi="Times New Roman"/>
      <w:b/>
      <w:bCs/>
      <w:sz w:val="28"/>
      <w:szCs w:val="28"/>
    </w:rPr>
  </w:style>
  <w:style w:type="paragraph" w:styleId="Heading5">
    <w:name w:val="heading 5"/>
    <w:aliases w:val="Block Label"/>
    <w:basedOn w:val="Normal"/>
    <w:next w:val="Normal"/>
    <w:qFormat/>
    <w:rsid w:val="00657124"/>
    <w:pPr>
      <w:outlineLvl w:val="4"/>
    </w:pPr>
    <w:rPr>
      <w:rFonts w:ascii="Times New Roman" w:hAnsi="Times New Rom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9BE"/>
    <w:pPr>
      <w:tabs>
        <w:tab w:val="center" w:pos="4153"/>
        <w:tab w:val="right" w:pos="8306"/>
      </w:tabs>
    </w:pPr>
  </w:style>
  <w:style w:type="paragraph" w:customStyle="1" w:styleId="BlockLine">
    <w:name w:val="Block Line"/>
    <w:basedOn w:val="Normal"/>
    <w:next w:val="Normal"/>
    <w:rsid w:val="00657124"/>
    <w:pPr>
      <w:pBdr>
        <w:top w:val="single" w:sz="6" w:space="1" w:color="auto"/>
        <w:between w:val="single" w:sz="6" w:space="1" w:color="auto"/>
      </w:pBdr>
      <w:spacing w:before="240"/>
      <w:ind w:left="1700"/>
    </w:pPr>
    <w:rPr>
      <w:rFonts w:ascii="Times New Roman" w:hAnsi="Times New Roman"/>
      <w:sz w:val="24"/>
      <w:szCs w:val="20"/>
      <w:lang w:val="en-US" w:eastAsia="en-US"/>
    </w:rPr>
  </w:style>
  <w:style w:type="paragraph" w:styleId="BlockText">
    <w:name w:val="Block Text"/>
    <w:basedOn w:val="Normal"/>
    <w:rsid w:val="00657124"/>
    <w:rPr>
      <w:rFonts w:ascii="Times New Roman" w:hAnsi="Times New Roman"/>
      <w:sz w:val="24"/>
      <w:szCs w:val="20"/>
      <w:lang w:val="en-US" w:eastAsia="en-US"/>
    </w:rPr>
  </w:style>
  <w:style w:type="paragraph" w:styleId="Footer">
    <w:name w:val="footer"/>
    <w:basedOn w:val="Normal"/>
    <w:link w:val="FooterChar"/>
    <w:uiPriority w:val="99"/>
    <w:rsid w:val="0079323F"/>
    <w:pPr>
      <w:tabs>
        <w:tab w:val="center" w:pos="4153"/>
        <w:tab w:val="right" w:pos="8306"/>
      </w:tabs>
    </w:pPr>
  </w:style>
  <w:style w:type="paragraph" w:customStyle="1" w:styleId="TableText">
    <w:name w:val="Table Text"/>
    <w:basedOn w:val="Normal"/>
    <w:rsid w:val="0079323F"/>
    <w:rPr>
      <w:rFonts w:ascii="Times New Roman" w:hAnsi="Times New Roman"/>
      <w:sz w:val="24"/>
      <w:szCs w:val="20"/>
      <w:lang w:val="en-US" w:eastAsia="en-US"/>
    </w:rPr>
  </w:style>
  <w:style w:type="paragraph" w:customStyle="1" w:styleId="TableHeaderText">
    <w:name w:val="Table Header Text"/>
    <w:basedOn w:val="TableText"/>
    <w:rsid w:val="0079323F"/>
    <w:pPr>
      <w:jc w:val="center"/>
    </w:pPr>
    <w:rPr>
      <w:b/>
    </w:rPr>
  </w:style>
  <w:style w:type="paragraph" w:customStyle="1" w:styleId="TOCStem">
    <w:name w:val="TOCStem"/>
    <w:basedOn w:val="Normal"/>
    <w:rsid w:val="0079323F"/>
    <w:rPr>
      <w:rFonts w:ascii="Times New Roman" w:hAnsi="Times New Roman"/>
      <w:sz w:val="24"/>
      <w:szCs w:val="20"/>
      <w:lang w:val="en-US" w:eastAsia="en-US"/>
    </w:rPr>
  </w:style>
  <w:style w:type="paragraph" w:styleId="BalloonText">
    <w:name w:val="Balloon Text"/>
    <w:basedOn w:val="Normal"/>
    <w:semiHidden/>
    <w:rsid w:val="00DA46E2"/>
    <w:rPr>
      <w:rFonts w:ascii="Tahoma" w:hAnsi="Tahoma" w:cs="Tahoma"/>
      <w:sz w:val="16"/>
      <w:szCs w:val="16"/>
    </w:rPr>
  </w:style>
  <w:style w:type="table" w:styleId="TableGrid">
    <w:name w:val="Table Grid"/>
    <w:basedOn w:val="TableNormal"/>
    <w:uiPriority w:val="59"/>
    <w:rsid w:val="0093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0309AF"/>
    <w:pPr>
      <w:numPr>
        <w:numId w:val="16"/>
      </w:numPr>
      <w:spacing w:after="260" w:line="260" w:lineRule="atLeast"/>
    </w:pPr>
    <w:rPr>
      <w:rFonts w:ascii="Times New Roman" w:hAnsi="Times New Roman"/>
      <w:sz w:val="20"/>
      <w:szCs w:val="20"/>
      <w:lang w:eastAsia="en-US"/>
    </w:rPr>
  </w:style>
  <w:style w:type="paragraph" w:styleId="ListBullet2">
    <w:name w:val="List Bullet 2"/>
    <w:basedOn w:val="Normal"/>
    <w:autoRedefine/>
    <w:rsid w:val="000309AF"/>
    <w:pPr>
      <w:numPr>
        <w:ilvl w:val="1"/>
        <w:numId w:val="16"/>
      </w:numPr>
      <w:spacing w:after="260" w:line="260" w:lineRule="atLeast"/>
    </w:pPr>
    <w:rPr>
      <w:rFonts w:ascii="Times New Roman" w:hAnsi="Times New Roman"/>
      <w:sz w:val="20"/>
      <w:szCs w:val="20"/>
      <w:lang w:eastAsia="en-US"/>
    </w:rPr>
  </w:style>
  <w:style w:type="paragraph" w:styleId="ListBullet3">
    <w:name w:val="List Bullet 3"/>
    <w:basedOn w:val="Normal"/>
    <w:autoRedefine/>
    <w:rsid w:val="000309AF"/>
    <w:pPr>
      <w:numPr>
        <w:ilvl w:val="2"/>
        <w:numId w:val="16"/>
      </w:numPr>
      <w:spacing w:after="260" w:line="260" w:lineRule="atLeast"/>
    </w:pPr>
    <w:rPr>
      <w:rFonts w:ascii="Times New Roman" w:hAnsi="Times New Roman"/>
      <w:sz w:val="20"/>
      <w:szCs w:val="20"/>
      <w:lang w:eastAsia="en-US"/>
    </w:rPr>
  </w:style>
  <w:style w:type="paragraph" w:styleId="ListBullet4">
    <w:name w:val="List Bullet 4"/>
    <w:basedOn w:val="Normal"/>
    <w:autoRedefine/>
    <w:rsid w:val="000309AF"/>
    <w:pPr>
      <w:numPr>
        <w:ilvl w:val="3"/>
        <w:numId w:val="16"/>
      </w:numPr>
      <w:spacing w:after="260" w:line="260" w:lineRule="atLeast"/>
    </w:pPr>
    <w:rPr>
      <w:rFonts w:ascii="Times New Roman" w:hAnsi="Times New Roman"/>
      <w:sz w:val="20"/>
      <w:szCs w:val="20"/>
      <w:lang w:eastAsia="en-US"/>
    </w:rPr>
  </w:style>
  <w:style w:type="paragraph" w:styleId="ListBullet5">
    <w:name w:val="List Bullet 5"/>
    <w:basedOn w:val="Normal"/>
    <w:autoRedefine/>
    <w:rsid w:val="000309AF"/>
    <w:pPr>
      <w:numPr>
        <w:ilvl w:val="4"/>
        <w:numId w:val="16"/>
      </w:numPr>
      <w:spacing w:after="260" w:line="260" w:lineRule="atLeast"/>
    </w:pPr>
    <w:rPr>
      <w:rFonts w:ascii="Times New Roman" w:hAnsi="Times New Roman"/>
      <w:sz w:val="20"/>
      <w:szCs w:val="20"/>
      <w:lang w:eastAsia="en-US"/>
    </w:rPr>
  </w:style>
  <w:style w:type="paragraph" w:styleId="ListParagraph">
    <w:name w:val="List Paragraph"/>
    <w:basedOn w:val="Normal"/>
    <w:uiPriority w:val="34"/>
    <w:qFormat/>
    <w:rsid w:val="000309AF"/>
    <w:pPr>
      <w:spacing w:line="276" w:lineRule="auto"/>
      <w:ind w:left="720"/>
      <w:contextualSpacing/>
    </w:pPr>
    <w:rPr>
      <w:rFonts w:ascii="Calibri" w:eastAsia="Calibri" w:hAnsi="Calibri"/>
      <w:sz w:val="24"/>
      <w:lang w:eastAsia="en-US"/>
    </w:rPr>
  </w:style>
  <w:style w:type="character" w:customStyle="1" w:styleId="Heading2Char">
    <w:name w:val="Heading 2 Char"/>
    <w:link w:val="Heading2"/>
    <w:semiHidden/>
    <w:rsid w:val="00186859"/>
    <w:rPr>
      <w:rFonts w:ascii="Cambria" w:eastAsia="Times New Roman" w:hAnsi="Cambria" w:cs="Times New Roman"/>
      <w:b/>
      <w:bCs/>
      <w:i/>
      <w:iCs/>
      <w:sz w:val="28"/>
      <w:szCs w:val="28"/>
    </w:rPr>
  </w:style>
  <w:style w:type="character" w:customStyle="1" w:styleId="HeaderChar">
    <w:name w:val="Header Char"/>
    <w:link w:val="Header"/>
    <w:rsid w:val="00F94AB9"/>
    <w:rPr>
      <w:rFonts w:ascii="Arial" w:hAnsi="Arial"/>
      <w:sz w:val="22"/>
      <w:szCs w:val="22"/>
    </w:rPr>
  </w:style>
  <w:style w:type="paragraph" w:styleId="IntenseQuote">
    <w:name w:val="Intense Quote"/>
    <w:basedOn w:val="Normal"/>
    <w:next w:val="Normal"/>
    <w:link w:val="IntenseQuoteChar"/>
    <w:uiPriority w:val="30"/>
    <w:qFormat/>
    <w:rsid w:val="00D2168C"/>
    <w:pPr>
      <w:pBdr>
        <w:bottom w:val="single" w:sz="4" w:space="4" w:color="4F81BD"/>
      </w:pBdr>
      <w:spacing w:before="200" w:after="280"/>
      <w:ind w:left="936" w:right="936"/>
    </w:pPr>
    <w:rPr>
      <w:bCs/>
      <w:iCs/>
    </w:rPr>
  </w:style>
  <w:style w:type="character" w:customStyle="1" w:styleId="IntenseQuoteChar">
    <w:name w:val="Intense Quote Char"/>
    <w:link w:val="IntenseQuote"/>
    <w:uiPriority w:val="30"/>
    <w:rsid w:val="00D2168C"/>
    <w:rPr>
      <w:rFonts w:ascii="Arial" w:hAnsi="Arial"/>
      <w:bCs/>
      <w:iCs/>
      <w:sz w:val="22"/>
      <w:szCs w:val="22"/>
    </w:rPr>
  </w:style>
  <w:style w:type="character" w:styleId="Hyperlink">
    <w:name w:val="Hyperlink"/>
    <w:rsid w:val="0085678A"/>
    <w:rPr>
      <w:color w:val="0000FF"/>
      <w:u w:val="single"/>
    </w:rPr>
  </w:style>
  <w:style w:type="character" w:styleId="FollowedHyperlink">
    <w:name w:val="FollowedHyperlink"/>
    <w:rsid w:val="003B21DE"/>
    <w:rPr>
      <w:color w:val="800080"/>
      <w:u w:val="single"/>
    </w:rPr>
  </w:style>
  <w:style w:type="paragraph" w:customStyle="1" w:styleId="tabletext0">
    <w:name w:val="tabletext"/>
    <w:basedOn w:val="Normal"/>
    <w:rsid w:val="002A4FAC"/>
    <w:rPr>
      <w:rFonts w:ascii="Times New Roman" w:hAnsi="Times New Roman"/>
      <w:sz w:val="24"/>
      <w:szCs w:val="24"/>
    </w:rPr>
  </w:style>
  <w:style w:type="paragraph" w:customStyle="1" w:styleId="tableheadertext0">
    <w:name w:val="tableheadertext"/>
    <w:basedOn w:val="Normal"/>
    <w:rsid w:val="002A4FAC"/>
    <w:pPr>
      <w:jc w:val="center"/>
    </w:pPr>
    <w:rPr>
      <w:rFonts w:ascii="Times New Roman" w:hAnsi="Times New Roman"/>
      <w:b/>
      <w:bCs/>
      <w:sz w:val="24"/>
      <w:szCs w:val="24"/>
    </w:rPr>
  </w:style>
  <w:style w:type="character" w:customStyle="1" w:styleId="FooterChar">
    <w:name w:val="Footer Char"/>
    <w:link w:val="Footer"/>
    <w:uiPriority w:val="99"/>
    <w:rsid w:val="002B7012"/>
    <w:rPr>
      <w:rFonts w:ascii="Arial" w:hAnsi="Arial"/>
      <w:sz w:val="22"/>
      <w:szCs w:val="22"/>
    </w:rPr>
  </w:style>
  <w:style w:type="paragraph" w:styleId="FootnoteText">
    <w:name w:val="footnote text"/>
    <w:basedOn w:val="Normal"/>
    <w:link w:val="FootnoteTextChar"/>
    <w:rsid w:val="006438A3"/>
    <w:rPr>
      <w:sz w:val="20"/>
      <w:szCs w:val="20"/>
    </w:rPr>
  </w:style>
  <w:style w:type="character" w:customStyle="1" w:styleId="FootnoteTextChar">
    <w:name w:val="Footnote Text Char"/>
    <w:link w:val="FootnoteText"/>
    <w:rsid w:val="006438A3"/>
    <w:rPr>
      <w:rFonts w:ascii="Arial" w:hAnsi="Arial"/>
    </w:rPr>
  </w:style>
  <w:style w:type="character" w:styleId="FootnoteReference">
    <w:name w:val="footnote reference"/>
    <w:rsid w:val="006438A3"/>
    <w:rPr>
      <w:vertAlign w:val="superscript"/>
    </w:rPr>
  </w:style>
  <w:style w:type="character" w:styleId="Strong">
    <w:name w:val="Strong"/>
    <w:uiPriority w:val="22"/>
    <w:qFormat/>
    <w:rsid w:val="006438A3"/>
    <w:rPr>
      <w:b/>
      <w:bCs/>
    </w:rPr>
  </w:style>
  <w:style w:type="character" w:styleId="CommentReference">
    <w:name w:val="annotation reference"/>
    <w:rsid w:val="0076261A"/>
    <w:rPr>
      <w:sz w:val="16"/>
      <w:szCs w:val="16"/>
    </w:rPr>
  </w:style>
  <w:style w:type="paragraph" w:styleId="CommentText">
    <w:name w:val="annotation text"/>
    <w:basedOn w:val="Normal"/>
    <w:link w:val="CommentTextChar"/>
    <w:rsid w:val="0076261A"/>
    <w:rPr>
      <w:sz w:val="20"/>
      <w:szCs w:val="20"/>
    </w:rPr>
  </w:style>
  <w:style w:type="character" w:customStyle="1" w:styleId="CommentTextChar">
    <w:name w:val="Comment Text Char"/>
    <w:link w:val="CommentText"/>
    <w:rsid w:val="0076261A"/>
    <w:rPr>
      <w:rFonts w:ascii="Arial" w:hAnsi="Arial"/>
    </w:rPr>
  </w:style>
  <w:style w:type="paragraph" w:styleId="CommentSubject">
    <w:name w:val="annotation subject"/>
    <w:basedOn w:val="CommentText"/>
    <w:next w:val="CommentText"/>
    <w:link w:val="CommentSubjectChar"/>
    <w:rsid w:val="0076261A"/>
    <w:rPr>
      <w:b/>
      <w:bCs/>
    </w:rPr>
  </w:style>
  <w:style w:type="character" w:customStyle="1" w:styleId="CommentSubjectChar">
    <w:name w:val="Comment Subject Char"/>
    <w:link w:val="CommentSubject"/>
    <w:rsid w:val="0076261A"/>
    <w:rPr>
      <w:rFonts w:ascii="Arial" w:hAnsi="Arial"/>
      <w:b/>
      <w:bCs/>
    </w:rPr>
  </w:style>
  <w:style w:type="character" w:styleId="UnresolvedMention">
    <w:name w:val="Unresolved Mention"/>
    <w:basedOn w:val="DefaultParagraphFont"/>
    <w:uiPriority w:val="99"/>
    <w:semiHidden/>
    <w:unhideWhenUsed/>
    <w:rsid w:val="0045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3727">
      <w:bodyDiv w:val="1"/>
      <w:marLeft w:val="0"/>
      <w:marRight w:val="0"/>
      <w:marTop w:val="0"/>
      <w:marBottom w:val="0"/>
      <w:divBdr>
        <w:top w:val="none" w:sz="0" w:space="0" w:color="auto"/>
        <w:left w:val="none" w:sz="0" w:space="0" w:color="auto"/>
        <w:bottom w:val="none" w:sz="0" w:space="0" w:color="auto"/>
        <w:right w:val="none" w:sz="0" w:space="0" w:color="auto"/>
      </w:divBdr>
    </w:div>
    <w:div w:id="323094109">
      <w:bodyDiv w:val="1"/>
      <w:marLeft w:val="0"/>
      <w:marRight w:val="0"/>
      <w:marTop w:val="0"/>
      <w:marBottom w:val="0"/>
      <w:divBdr>
        <w:top w:val="none" w:sz="0" w:space="0" w:color="auto"/>
        <w:left w:val="none" w:sz="0" w:space="0" w:color="auto"/>
        <w:bottom w:val="none" w:sz="0" w:space="0" w:color="auto"/>
        <w:right w:val="none" w:sz="0" w:space="0" w:color="auto"/>
      </w:divBdr>
    </w:div>
    <w:div w:id="582690028">
      <w:bodyDiv w:val="1"/>
      <w:marLeft w:val="0"/>
      <w:marRight w:val="0"/>
      <w:marTop w:val="0"/>
      <w:marBottom w:val="0"/>
      <w:divBdr>
        <w:top w:val="none" w:sz="0" w:space="0" w:color="auto"/>
        <w:left w:val="none" w:sz="0" w:space="0" w:color="auto"/>
        <w:bottom w:val="none" w:sz="0" w:space="0" w:color="auto"/>
        <w:right w:val="none" w:sz="0" w:space="0" w:color="auto"/>
      </w:divBdr>
    </w:div>
    <w:div w:id="905650703">
      <w:bodyDiv w:val="1"/>
      <w:marLeft w:val="0"/>
      <w:marRight w:val="0"/>
      <w:marTop w:val="0"/>
      <w:marBottom w:val="0"/>
      <w:divBdr>
        <w:top w:val="none" w:sz="0" w:space="0" w:color="auto"/>
        <w:left w:val="none" w:sz="0" w:space="0" w:color="auto"/>
        <w:bottom w:val="none" w:sz="0" w:space="0" w:color="auto"/>
        <w:right w:val="none" w:sz="0" w:space="0" w:color="auto"/>
      </w:divBdr>
    </w:div>
    <w:div w:id="983119545">
      <w:bodyDiv w:val="1"/>
      <w:marLeft w:val="0"/>
      <w:marRight w:val="0"/>
      <w:marTop w:val="0"/>
      <w:marBottom w:val="0"/>
      <w:divBdr>
        <w:top w:val="none" w:sz="0" w:space="0" w:color="auto"/>
        <w:left w:val="none" w:sz="0" w:space="0" w:color="auto"/>
        <w:bottom w:val="none" w:sz="0" w:space="0" w:color="auto"/>
        <w:right w:val="none" w:sz="0" w:space="0" w:color="auto"/>
      </w:divBdr>
    </w:div>
    <w:div w:id="1160003310">
      <w:bodyDiv w:val="1"/>
      <w:marLeft w:val="0"/>
      <w:marRight w:val="0"/>
      <w:marTop w:val="0"/>
      <w:marBottom w:val="0"/>
      <w:divBdr>
        <w:top w:val="none" w:sz="0" w:space="0" w:color="auto"/>
        <w:left w:val="none" w:sz="0" w:space="0" w:color="auto"/>
        <w:bottom w:val="none" w:sz="0" w:space="0" w:color="auto"/>
        <w:right w:val="none" w:sz="0" w:space="0" w:color="auto"/>
      </w:divBdr>
    </w:div>
    <w:div w:id="1242065784">
      <w:bodyDiv w:val="1"/>
      <w:marLeft w:val="0"/>
      <w:marRight w:val="0"/>
      <w:marTop w:val="0"/>
      <w:marBottom w:val="0"/>
      <w:divBdr>
        <w:top w:val="none" w:sz="0" w:space="0" w:color="auto"/>
        <w:left w:val="none" w:sz="0" w:space="0" w:color="auto"/>
        <w:bottom w:val="none" w:sz="0" w:space="0" w:color="auto"/>
        <w:right w:val="none" w:sz="0" w:space="0" w:color="auto"/>
      </w:divBdr>
    </w:div>
    <w:div w:id="1297950728">
      <w:bodyDiv w:val="1"/>
      <w:marLeft w:val="0"/>
      <w:marRight w:val="0"/>
      <w:marTop w:val="0"/>
      <w:marBottom w:val="0"/>
      <w:divBdr>
        <w:top w:val="none" w:sz="0" w:space="0" w:color="auto"/>
        <w:left w:val="none" w:sz="0" w:space="0" w:color="auto"/>
        <w:bottom w:val="none" w:sz="0" w:space="0" w:color="auto"/>
        <w:right w:val="none" w:sz="0" w:space="0" w:color="auto"/>
      </w:divBdr>
    </w:div>
    <w:div w:id="1321272919">
      <w:bodyDiv w:val="1"/>
      <w:marLeft w:val="0"/>
      <w:marRight w:val="0"/>
      <w:marTop w:val="0"/>
      <w:marBottom w:val="0"/>
      <w:divBdr>
        <w:top w:val="none" w:sz="0" w:space="0" w:color="auto"/>
        <w:left w:val="none" w:sz="0" w:space="0" w:color="auto"/>
        <w:bottom w:val="none" w:sz="0" w:space="0" w:color="auto"/>
        <w:right w:val="none" w:sz="0" w:space="0" w:color="auto"/>
      </w:divBdr>
    </w:div>
    <w:div w:id="1532957937">
      <w:bodyDiv w:val="1"/>
      <w:marLeft w:val="0"/>
      <w:marRight w:val="0"/>
      <w:marTop w:val="0"/>
      <w:marBottom w:val="0"/>
      <w:divBdr>
        <w:top w:val="none" w:sz="0" w:space="0" w:color="auto"/>
        <w:left w:val="none" w:sz="0" w:space="0" w:color="auto"/>
        <w:bottom w:val="none" w:sz="0" w:space="0" w:color="auto"/>
        <w:right w:val="none" w:sz="0" w:space="0" w:color="auto"/>
      </w:divBdr>
    </w:div>
    <w:div w:id="1703625590">
      <w:bodyDiv w:val="1"/>
      <w:marLeft w:val="0"/>
      <w:marRight w:val="0"/>
      <w:marTop w:val="0"/>
      <w:marBottom w:val="0"/>
      <w:divBdr>
        <w:top w:val="none" w:sz="0" w:space="0" w:color="auto"/>
        <w:left w:val="none" w:sz="0" w:space="0" w:color="auto"/>
        <w:bottom w:val="none" w:sz="0" w:space="0" w:color="auto"/>
        <w:right w:val="none" w:sz="0" w:space="0" w:color="auto"/>
      </w:divBdr>
    </w:div>
    <w:div w:id="1709600864">
      <w:bodyDiv w:val="1"/>
      <w:marLeft w:val="0"/>
      <w:marRight w:val="0"/>
      <w:marTop w:val="0"/>
      <w:marBottom w:val="0"/>
      <w:divBdr>
        <w:top w:val="none" w:sz="0" w:space="0" w:color="auto"/>
        <w:left w:val="none" w:sz="0" w:space="0" w:color="auto"/>
        <w:bottom w:val="none" w:sz="0" w:space="0" w:color="auto"/>
        <w:right w:val="none" w:sz="0" w:space="0" w:color="auto"/>
      </w:divBdr>
    </w:div>
    <w:div w:id="1760827140">
      <w:bodyDiv w:val="1"/>
      <w:marLeft w:val="0"/>
      <w:marRight w:val="0"/>
      <w:marTop w:val="0"/>
      <w:marBottom w:val="0"/>
      <w:divBdr>
        <w:top w:val="none" w:sz="0" w:space="0" w:color="auto"/>
        <w:left w:val="none" w:sz="0" w:space="0" w:color="auto"/>
        <w:bottom w:val="none" w:sz="0" w:space="0" w:color="auto"/>
        <w:right w:val="none" w:sz="0" w:space="0" w:color="auto"/>
      </w:divBdr>
    </w:div>
    <w:div w:id="20413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dg48/resources/fibroscan-for-assessing-liver-fibrosis-and-cirrhosis-outside-secondary-and-specialist-care-pdf-1053817906885" TargetMode="External"/><Relationship Id="rId1" Type="http://schemas.openxmlformats.org/officeDocument/2006/relationships/hyperlink" Target="https://britishlivertrust.org.uk/introduction-of-new-terminology-for-fatty-liver-disea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A53CA5B92A14EA2FF356E76345B74" ma:contentTypeVersion="17" ma:contentTypeDescription="Create a new document." ma:contentTypeScope="" ma:versionID="cac2a2fb9f0232bb94138df75eebf17e">
  <xsd:schema xmlns:xsd="http://www.w3.org/2001/XMLSchema" xmlns:xs="http://www.w3.org/2001/XMLSchema" xmlns:p="http://schemas.microsoft.com/office/2006/metadata/properties" xmlns:ns2="8ce4f9cf-be94-4bd2-ab98-299ea9d4074b" xmlns:ns3="3c32b954-c41d-4eda-9c6d-afc5e38714f4" targetNamespace="http://schemas.microsoft.com/office/2006/metadata/properties" ma:root="true" ma:fieldsID="459ec3bb8ea117d3a959d05306194cea" ns2:_="" ns3:_="">
    <xsd:import namespace="8ce4f9cf-be94-4bd2-ab98-299ea9d4074b"/>
    <xsd:import namespace="3c32b954-c41d-4eda-9c6d-afc5e3871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f9cf-be94-4bd2-ab98-299ea9d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97b8e-c428-44bd-a37c-e76c99ae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2b954-c41d-4eda-9c6d-afc5e3871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2e108-9f63-45b9-9e2b-a42a40f59d3a}" ma:internalName="TaxCatchAll" ma:showField="CatchAllData" ma:web="3c32b954-c41d-4eda-9c6d-afc5e3871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4f9cf-be94-4bd2-ab98-299ea9d4074b">
      <Terms xmlns="http://schemas.microsoft.com/office/infopath/2007/PartnerControls"/>
    </lcf76f155ced4ddcb4097134ff3c332f>
    <TaxCatchAll xmlns="3c32b954-c41d-4eda-9c6d-afc5e38714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C9D5A-101E-4E26-B374-56CED14064E1}">
  <ds:schemaRefs>
    <ds:schemaRef ds:uri="http://schemas.microsoft.com/sharepoint/v3/contenttype/forms"/>
  </ds:schemaRefs>
</ds:datastoreItem>
</file>

<file path=customXml/itemProps2.xml><?xml version="1.0" encoding="utf-8"?>
<ds:datastoreItem xmlns:ds="http://schemas.openxmlformats.org/officeDocument/2006/customXml" ds:itemID="{1DD9C6A3-1CE2-49DD-88A2-50FBC0CFA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4f9cf-be94-4bd2-ab98-299ea9d4074b"/>
    <ds:schemaRef ds:uri="3c32b954-c41d-4eda-9c6d-afc5e3871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891CA-F561-4ED9-81F5-CDA87576B45B}">
  <ds:schemaRefs>
    <ds:schemaRef ds:uri="http://schemas.microsoft.com/office/2006/metadata/properties"/>
    <ds:schemaRef ds:uri="http://schemas.microsoft.com/office/infopath/2007/PartnerControls"/>
    <ds:schemaRef ds:uri="8ce4f9cf-be94-4bd2-ab98-299ea9d4074b"/>
    <ds:schemaRef ds:uri="3c32b954-c41d-4eda-9c6d-afc5e38714f4"/>
  </ds:schemaRefs>
</ds:datastoreItem>
</file>

<file path=customXml/itemProps4.xml><?xml version="1.0" encoding="utf-8"?>
<ds:datastoreItem xmlns:ds="http://schemas.openxmlformats.org/officeDocument/2006/customXml" ds:itemID="{3FE868E2-CAAB-415A-9FFA-133B6814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Aintree Hospitals NHS Trust</Company>
  <LinksUpToDate>false</LinksUpToDate>
  <CharactersWithSpaces>6764</CharactersWithSpaces>
  <SharedDoc>false</SharedDoc>
  <HLinks>
    <vt:vector size="6" baseType="variant">
      <vt:variant>
        <vt:i4>6750304</vt:i4>
      </vt:variant>
      <vt:variant>
        <vt:i4>0</vt:i4>
      </vt:variant>
      <vt:variant>
        <vt:i4>0</vt:i4>
      </vt:variant>
      <vt:variant>
        <vt:i4>5</vt:i4>
      </vt:variant>
      <vt:variant>
        <vt:lpwstr>https://britishlivertrust.org.uk/introduction-of-new-terminology-for-fatty-liver-diseases/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cp:lastModifiedBy>Neil Mitchell</cp:lastModifiedBy>
  <cp:revision>2</cp:revision>
  <cp:lastPrinted>2017-09-22T15:01:00Z</cp:lastPrinted>
  <dcterms:created xsi:type="dcterms:W3CDTF">2023-09-19T08:33:00Z</dcterms:created>
  <dcterms:modified xsi:type="dcterms:W3CDTF">2023-09-19T08:33:00Z</dcterms:modified>
</cp:coreProperties>
</file>